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前  言</w:t>
      </w:r>
    </w:p>
    <w:p>
      <w:pPr>
        <w:spacing w:lineRule="exact" w:line="540" w:before="0" w:after="0"/>
        <w:ind w:firstLineChars="200" w:firstLine="280"/>
        <w:jc w:val="both"/>
      </w:pPr>
      <w:r>
        <w:rPr>
          <w:rFonts w:ascii="宋体" w:hAnsi="宋体" w:eastAsia="宋体" w:cs="宋体" w:hint="eastAsia"/>
          <w:b w:val="0"/>
          <w:i w:val="0"/>
          <w:sz w:val="28"/>
        </w:rPr>
        <w:t>泰安测试机械有限公司（以下简称“该公司”）拟建设年产1000台工程机械配件项目。受建设单位委托，依据《中华人民共和国安全生产法》《建设项目安全设施“三同时”监督管理办法》及有关标准规范，编制本安全设施设计专篇。</w:t>
      </w:r>
    </w:p>
    <w:p>
      <w:pPr>
        <w:spacing w:lineRule="exact" w:line="540" w:before="0" w:after="0"/>
        <w:ind w:firstLineChars="200" w:firstLine="280"/>
        <w:jc w:val="both"/>
      </w:pPr>
      <w:r>
        <w:rPr>
          <w:rFonts w:ascii="宋体" w:hAnsi="宋体" w:eastAsia="宋体" w:cs="宋体" w:hint="eastAsia"/>
          <w:b w:val="0"/>
          <w:i w:val="0"/>
          <w:sz w:val="28"/>
        </w:rPr>
        <w:t>本专篇在分析该项目生产工艺、设备设施、原辅材料及周边环境的基础上，辨识生产过程中存在的危险、有害因素，确定其危险程度，提出安全设施的设计方案与安全对策措施，为项目安全设施的施工、验收和投产后的安全管理提供依据。</w:t>
      </w:r>
    </w:p>
    <w:p>
      <w:pPr>
        <w:spacing w:lineRule="exact" w:line="540" w:before="0" w:after="0"/>
        <w:ind w:firstLineChars="200" w:firstLine="280"/>
        <w:jc w:val="both"/>
      </w:pPr>
      <w:r>
        <w:rPr>
          <w:rFonts w:ascii="宋体" w:hAnsi="宋体" w:eastAsia="宋体" w:cs="宋体" w:hint="eastAsia"/>
          <w:b w:val="0"/>
          <w:i w:val="0"/>
          <w:sz w:val="28"/>
        </w:rPr>
        <w:t>本专篇的设计范围为该项目厂区范围内的总平面布置、主要生产设施、公用工程及辅助设施。设计内容不包括：厂外运输、产品使用阶段的安全问题，以及设计单位资质、图签、注册人员签字与出图章等内容。</w:t>
      </w:r>
    </w:p>
    <w:p>
      <w:pPr>
        <w:spacing w:lineRule="exact" w:line="540" w:before="0" w:after="0"/>
        <w:ind w:firstLineChars="200" w:firstLine="280"/>
        <w:jc w:val="both"/>
      </w:pPr>
      <w:r>
        <w:rPr>
          <w:rFonts w:ascii="宋体" w:hAnsi="宋体" w:eastAsia="宋体" w:cs="宋体" w:hint="eastAsia"/>
          <w:b w:val="0"/>
          <w:i w:val="0"/>
          <w:sz w:val="28"/>
        </w:rPr>
        <w:t>本专篇依据建设单位提供的资料编制。资料中未提供的内容，以红色“</w:t>
      </w:r>
      <w:r>
        <w:rPr>
          <w:rFonts w:ascii="宋体" w:hAnsi="宋体" w:eastAsia="宋体" w:cs="宋体" w:hint="eastAsia"/>
          <w:b w:val="0"/>
          <w:i w:val="0"/>
          <w:sz w:val="28"/>
          <w:color w:val="C00000"/>
        </w:rPr>
        <w:t>【待用户填：…】</w:t>
      </w:r>
      <w:r>
        <w:rPr>
          <w:rFonts w:ascii="宋体" w:hAnsi="宋体" w:eastAsia="宋体" w:cs="宋体" w:hint="eastAsia"/>
          <w:b w:val="0"/>
          <w:i w:val="0"/>
          <w:sz w:val="28"/>
        </w:rPr>
        <w:t>”标注，由建设单位核实补齐后方可作为送审稿使用。本专篇不代替建设单位的安全主体责任，最终设计文件应由具备相应资质的设计单位审核、签字并盖章。</w:t>
      </w:r>
    </w:p>
    <w:p>
      <w:pPr>
        <w:spacing w:lineRule="exact" w:line="540" w:before="0" w:after="0"/>
        <w:ind w:firstLineChars="200" w:firstLine="280"/>
        <w:jc w:val="both"/>
      </w:pPr>
      <w:r>
        <w:rPr>
          <w:rFonts w:ascii="宋体" w:hAnsi="宋体" w:eastAsia="宋体" w:cs="宋体" w:hint="eastAsia"/>
          <w:b w:val="0"/>
          <w:i w:val="0"/>
          <w:sz w:val="28"/>
        </w:rPr>
        <w:t>在专篇编制过程中，得到了建设单位的大力支持与配合，谨此致谢。</w:t>
      </w:r>
    </w:p>
    <w:p>
      <w:pPr>
        <w:spacing w:lineRule="exact" w:line="540" w:before="0" w:after="0"/>
        <w:ind w:firstLine="0"/>
        <w:jc w:val="both"/>
      </w:pPr>
    </w:p>
    <w:p>
      <w:pPr>
        <w:spacing w:lineRule="exact" w:line="540" w:before="0" w:after="0"/>
        <w:ind w:firstLine="0"/>
        <w:jc w:val="both"/>
      </w:pPr>
      <w:r>
        <w:rPr>
          <w:rFonts w:ascii="宋体" w:hAnsi="宋体" w:eastAsia="宋体" w:cs="宋体" w:hint="eastAsia"/>
          <w:b w:val="0"/>
          <w:i w:val="0"/>
          <w:sz w:val="28"/>
        </w:rPr>
        <w:t>日　　期：2026 年 10 月 18 日</w:t>
      </w:r>
    </w:p>
    <w:p>
      <w:r>
        <w:br w:type="page"/>
      </w:r>
    </w:p>
    <w:p>
      <w:pPr>
        <w:spacing w:after="240"/>
        <w:jc w:val="center"/>
      </w:pPr>
      <w:r>
        <w:rPr>
          <w:rFonts w:ascii="黑体" w:hAnsi="黑体" w:eastAsia="黑体" w:cs="黑体" w:hint="eastAsia"/>
          <w:b w:val="0"/>
          <w:i w:val="0"/>
          <w:sz w:val="32"/>
        </w:rPr>
        <w:t>目 录</w:t>
      </w:r>
    </w:p>
    <w:p>
      <w:pPr>
        <w:tabs>
          <w:tab w:pos="9184" w:val="right" w:leader="dot"/>
        </w:tabs>
        <w:spacing w:lineRule="exact" w:line="540" w:before="100" w:after="100"/>
        <w:ind w:firstLine="0" w:left="0"/>
      </w:pPr>
      <w:r>
        <w:rPr>
          <w:rFonts w:ascii="黑体" w:hAnsi="黑体" w:eastAsia="黑体" w:cs="黑体" w:hint="eastAsia"/>
          <w:b w:val="0"/>
          <w:i w:val="0"/>
          <w:sz w:val="28"/>
        </w:rPr>
        <w:fldChar w:fldCharType="begin"/>
        <w:instrText xml:space="preserve"> TOC \o "1-2" \h \z \u </w:instrText>
        <w:fldChar w:fldCharType="separate"/>
      </w:r>
      <w:r>
        <w:rPr>
          <w:rFonts w:ascii="黑体" w:hAnsi="黑体" w:eastAsia="黑体" w:cs="黑体" w:hint="eastAsia"/>
          <w:b w:val="0"/>
          <w:i w:val="0"/>
          <w:sz w:val="28"/>
        </w:rPr>
        <w:t>前  言</w:t>
        <w:tab/>
        <w:t>1</w:t>
      </w:r>
    </w:p>
    <w:p>
      <w:pPr>
        <w:tabs>
          <w:tab w:pos="9184" w:val="right" w:leader="dot"/>
        </w:tabs>
        <w:spacing w:lineRule="exact" w:line="540" w:before="100" w:after="100"/>
        <w:ind w:firstLine="0" w:left="0"/>
      </w:pPr>
      <w:r>
        <w:rPr>
          <w:rFonts w:ascii="黑体" w:hAnsi="黑体" w:eastAsia="黑体" w:cs="黑体" w:hint="eastAsia"/>
          <w:b w:val="0"/>
          <w:i w:val="0"/>
          <w:sz w:val="28"/>
        </w:rPr>
        <w:t>1设计依据</w:t>
        <w:tab/>
        <w:t>5</w:t>
      </w:r>
    </w:p>
    <w:p>
      <w:pPr>
        <w:tabs>
          <w:tab w:pos="9184" w:val="right" w:leader="dot"/>
        </w:tabs>
        <w:spacing w:lineRule="exact" w:line="540" w:before="0" w:after="0"/>
        <w:ind w:firstLine="0" w:left="210"/>
      </w:pPr>
      <w:r>
        <w:rPr>
          <w:rFonts w:ascii="楷体" w:hAnsi="楷体" w:eastAsia="楷体" w:cs="楷体" w:hint="eastAsia"/>
          <w:b w:val="0"/>
          <w:i w:val="0"/>
          <w:sz w:val="28"/>
        </w:rPr>
        <w:t>1.1建设项目依据的批准文件或相关的合法证明</w:t>
        <w:tab/>
        <w:t>5</w:t>
      </w:r>
    </w:p>
    <w:p>
      <w:pPr>
        <w:tabs>
          <w:tab w:pos="9184" w:val="right" w:leader="dot"/>
        </w:tabs>
        <w:spacing w:lineRule="exact" w:line="540" w:before="0" w:after="0"/>
        <w:ind w:firstLine="0" w:left="210"/>
      </w:pPr>
      <w:r>
        <w:rPr>
          <w:rFonts w:ascii="楷体" w:hAnsi="楷体" w:eastAsia="楷体" w:cs="楷体" w:hint="eastAsia"/>
          <w:b w:val="0"/>
          <w:i w:val="0"/>
          <w:sz w:val="28"/>
        </w:rPr>
        <w:t>1.2依据的法律、法规以及安全技术标准、规范、规程</w:t>
        <w:tab/>
        <w:t>6</w:t>
      </w:r>
    </w:p>
    <w:p>
      <w:pPr>
        <w:tabs>
          <w:tab w:pos="9184" w:val="right" w:leader="dot"/>
        </w:tabs>
        <w:spacing w:lineRule="exact" w:line="540" w:before="0" w:after="0"/>
        <w:ind w:firstLine="0" w:left="210"/>
      </w:pPr>
      <w:r>
        <w:rPr>
          <w:rFonts w:ascii="楷体" w:hAnsi="楷体" w:eastAsia="楷体" w:cs="楷体" w:hint="eastAsia"/>
          <w:b w:val="0"/>
          <w:i w:val="0"/>
          <w:sz w:val="28"/>
        </w:rPr>
        <w:t>1.3建设项目安全预评价报告</w:t>
        <w:tab/>
        <w:t>12</w:t>
      </w:r>
    </w:p>
    <w:p>
      <w:pPr>
        <w:tabs>
          <w:tab w:pos="9184" w:val="right" w:leader="dot"/>
        </w:tabs>
        <w:spacing w:lineRule="exact" w:line="540" w:before="0" w:after="0"/>
        <w:ind w:firstLine="0" w:left="210"/>
      </w:pPr>
      <w:r>
        <w:rPr>
          <w:rFonts w:ascii="楷体" w:hAnsi="楷体" w:eastAsia="楷体" w:cs="楷体" w:hint="eastAsia"/>
          <w:b w:val="0"/>
          <w:i w:val="0"/>
          <w:sz w:val="28"/>
        </w:rPr>
        <w:t>1.4其他设计依据及有关说明文件</w:t>
        <w:tab/>
        <w:t>12</w:t>
      </w:r>
    </w:p>
    <w:p>
      <w:pPr>
        <w:tabs>
          <w:tab w:pos="9184" w:val="right" w:leader="dot"/>
        </w:tabs>
        <w:spacing w:lineRule="exact" w:line="540" w:before="100" w:after="100"/>
        <w:ind w:firstLine="0" w:left="0"/>
      </w:pPr>
      <w:r>
        <w:rPr>
          <w:rFonts w:ascii="黑体" w:hAnsi="黑体" w:eastAsia="黑体" w:cs="黑体" w:hint="eastAsia"/>
          <w:b w:val="0"/>
          <w:i w:val="0"/>
          <w:sz w:val="28"/>
        </w:rPr>
        <w:t>2建设项目概述</w:t>
        <w:tab/>
        <w:t>14</w:t>
      </w:r>
    </w:p>
    <w:p>
      <w:pPr>
        <w:tabs>
          <w:tab w:pos="9184" w:val="right" w:leader="dot"/>
        </w:tabs>
        <w:spacing w:lineRule="exact" w:line="540" w:before="0" w:after="0"/>
        <w:ind w:firstLine="0" w:left="210"/>
      </w:pPr>
      <w:r>
        <w:rPr>
          <w:rFonts w:ascii="楷体" w:hAnsi="楷体" w:eastAsia="楷体" w:cs="楷体" w:hint="eastAsia"/>
          <w:b w:val="0"/>
          <w:i w:val="0"/>
          <w:sz w:val="28"/>
        </w:rPr>
        <w:t>2.1建设单位、设计单位基本情况</w:t>
        <w:tab/>
        <w:t>14</w:t>
      </w:r>
    </w:p>
    <w:p>
      <w:pPr>
        <w:tabs>
          <w:tab w:pos="9184" w:val="right" w:leader="dot"/>
        </w:tabs>
        <w:spacing w:lineRule="exact" w:line="540" w:before="0" w:after="0"/>
        <w:ind w:firstLine="0" w:left="210"/>
      </w:pPr>
      <w:r>
        <w:rPr>
          <w:rFonts w:ascii="楷体" w:hAnsi="楷体" w:eastAsia="楷体" w:cs="楷体" w:hint="eastAsia"/>
          <w:b w:val="0"/>
          <w:i w:val="0"/>
          <w:sz w:val="28"/>
        </w:rPr>
        <w:t>2.2建设项目性质、任务及范围</w:t>
        <w:tab/>
        <w:t>14</w:t>
      </w:r>
    </w:p>
    <w:p>
      <w:pPr>
        <w:tabs>
          <w:tab w:pos="9184" w:val="right" w:leader="dot"/>
        </w:tabs>
        <w:spacing w:lineRule="exact" w:line="540" w:before="0" w:after="0"/>
        <w:ind w:firstLine="0" w:left="210"/>
      </w:pPr>
      <w:r>
        <w:rPr>
          <w:rFonts w:ascii="楷体" w:hAnsi="楷体" w:eastAsia="楷体" w:cs="楷体" w:hint="eastAsia"/>
          <w:b w:val="0"/>
          <w:i w:val="0"/>
          <w:sz w:val="28"/>
        </w:rPr>
        <w:t>2.3建设项目基本概况</w:t>
        <w:tab/>
        <w:t>16</w:t>
      </w:r>
    </w:p>
    <w:p>
      <w:pPr>
        <w:tabs>
          <w:tab w:pos="9184" w:val="right" w:leader="dot"/>
        </w:tabs>
        <w:spacing w:lineRule="exact" w:line="540" w:before="100" w:after="100"/>
        <w:ind w:firstLine="0" w:left="0"/>
      </w:pPr>
      <w:r>
        <w:rPr>
          <w:rFonts w:ascii="黑体" w:hAnsi="黑体" w:eastAsia="黑体" w:cs="黑体" w:hint="eastAsia"/>
          <w:b w:val="0"/>
          <w:i w:val="0"/>
          <w:sz w:val="28"/>
        </w:rPr>
        <w:t>3建设项目涉及的危险、有害因素和危险、有害程度及周边环境安全分析</w:t>
        <w:tab/>
        <w:t>19</w:t>
      </w:r>
    </w:p>
    <w:p>
      <w:pPr>
        <w:tabs>
          <w:tab w:pos="9184" w:val="right" w:leader="dot"/>
        </w:tabs>
        <w:spacing w:lineRule="exact" w:line="540" w:before="0" w:after="0"/>
        <w:ind w:firstLine="0" w:left="210"/>
      </w:pPr>
      <w:r>
        <w:rPr>
          <w:rFonts w:ascii="楷体" w:hAnsi="楷体" w:eastAsia="楷体" w:cs="楷体" w:hint="eastAsia"/>
          <w:b w:val="0"/>
          <w:i w:val="0"/>
          <w:sz w:val="28"/>
        </w:rPr>
        <w:t>3.1主要物料危险、有害因素、有害程度分析</w:t>
        <w:tab/>
        <w:t>19</w:t>
      </w:r>
    </w:p>
    <w:p>
      <w:pPr>
        <w:tabs>
          <w:tab w:pos="9184" w:val="right" w:leader="dot"/>
        </w:tabs>
        <w:spacing w:lineRule="exact" w:line="540" w:before="0" w:after="0"/>
        <w:ind w:firstLine="0" w:left="210"/>
      </w:pPr>
      <w:r>
        <w:rPr>
          <w:rFonts w:ascii="楷体" w:hAnsi="楷体" w:eastAsia="楷体" w:cs="楷体" w:hint="eastAsia"/>
          <w:b w:val="0"/>
          <w:i w:val="0"/>
          <w:sz w:val="28"/>
        </w:rPr>
        <w:t>3.2生产工艺及设备设施</w:t>
        <w:tab/>
        <w:t>23</w:t>
      </w:r>
    </w:p>
    <w:p>
      <w:pPr>
        <w:tabs>
          <w:tab w:pos="9184" w:val="right" w:leader="dot"/>
        </w:tabs>
        <w:spacing w:lineRule="exact" w:line="540" w:before="0" w:after="0"/>
        <w:ind w:firstLine="0" w:left="210"/>
      </w:pPr>
      <w:r>
        <w:rPr>
          <w:rFonts w:ascii="楷体" w:hAnsi="楷体" w:eastAsia="楷体" w:cs="楷体" w:hint="eastAsia"/>
          <w:b w:val="0"/>
          <w:i w:val="0"/>
          <w:sz w:val="28"/>
        </w:rPr>
        <w:t>3.3建筑及场地布置</w:t>
        <w:tab/>
        <w:t>26</w:t>
      </w:r>
    </w:p>
    <w:p>
      <w:pPr>
        <w:tabs>
          <w:tab w:pos="9184" w:val="right" w:leader="dot"/>
        </w:tabs>
        <w:spacing w:lineRule="exact" w:line="540" w:before="0" w:after="0"/>
        <w:ind w:firstLine="0" w:left="210"/>
      </w:pPr>
      <w:r>
        <w:rPr>
          <w:rFonts w:ascii="楷体" w:hAnsi="楷体" w:eastAsia="楷体" w:cs="楷体" w:hint="eastAsia"/>
          <w:b w:val="0"/>
          <w:i w:val="0"/>
          <w:sz w:val="28"/>
        </w:rPr>
        <w:t>3.4自然环境及周边环境安全</w:t>
        <w:tab/>
        <w:t>27</w:t>
      </w:r>
    </w:p>
    <w:p>
      <w:pPr>
        <w:tabs>
          <w:tab w:pos="9184" w:val="right" w:leader="dot"/>
        </w:tabs>
        <w:spacing w:lineRule="exact" w:line="540" w:before="100" w:after="100"/>
        <w:ind w:firstLine="0" w:left="0"/>
      </w:pPr>
      <w:r>
        <w:rPr>
          <w:rFonts w:ascii="黑体" w:hAnsi="黑体" w:eastAsia="黑体" w:cs="黑体" w:hint="eastAsia"/>
          <w:b w:val="0"/>
          <w:i w:val="0"/>
          <w:sz w:val="28"/>
        </w:rPr>
        <w:t>4建筑及场地布置与运输</w:t>
        <w:tab/>
        <w:t>29</w:t>
      </w:r>
    </w:p>
    <w:p>
      <w:pPr>
        <w:tabs>
          <w:tab w:pos="9184" w:val="right" w:leader="dot"/>
        </w:tabs>
        <w:spacing w:lineRule="exact" w:line="540" w:before="0" w:after="0"/>
        <w:ind w:firstLine="0" w:left="210"/>
      </w:pPr>
      <w:r>
        <w:rPr>
          <w:rFonts w:ascii="楷体" w:hAnsi="楷体" w:eastAsia="楷体" w:cs="楷体" w:hint="eastAsia"/>
          <w:b w:val="0"/>
          <w:i w:val="0"/>
          <w:sz w:val="28"/>
        </w:rPr>
        <w:t>4.1场地布置与运输</w:t>
        <w:tab/>
        <w:t>29</w:t>
      </w:r>
    </w:p>
    <w:p>
      <w:pPr>
        <w:tabs>
          <w:tab w:pos="9184" w:val="right" w:leader="dot"/>
        </w:tabs>
        <w:spacing w:lineRule="exact" w:line="540" w:before="0" w:after="0"/>
        <w:ind w:firstLine="0" w:left="210"/>
      </w:pPr>
      <w:r>
        <w:rPr>
          <w:rFonts w:ascii="楷体" w:hAnsi="楷体" w:eastAsia="楷体" w:cs="楷体" w:hint="eastAsia"/>
          <w:b w:val="0"/>
          <w:i w:val="0"/>
          <w:sz w:val="28"/>
        </w:rPr>
        <w:t>4.2建筑与结构</w:t>
        <w:tab/>
        <w:t>34</w:t>
      </w:r>
    </w:p>
    <w:p>
      <w:pPr>
        <w:tabs>
          <w:tab w:pos="9184" w:val="right" w:leader="dot"/>
        </w:tabs>
        <w:spacing w:lineRule="exact" w:line="540" w:before="100" w:after="100"/>
        <w:ind w:firstLine="0" w:left="0"/>
      </w:pPr>
      <w:r>
        <w:rPr>
          <w:rFonts w:ascii="黑体" w:hAnsi="黑体" w:eastAsia="黑体" w:cs="黑体" w:hint="eastAsia"/>
          <w:b w:val="0"/>
          <w:i w:val="0"/>
          <w:sz w:val="28"/>
        </w:rPr>
        <w:t>5重大危险源分析及检测监控</w:t>
        <w:tab/>
        <w:t>40</w:t>
      </w:r>
    </w:p>
    <w:p>
      <w:pPr>
        <w:tabs>
          <w:tab w:pos="9184" w:val="right" w:leader="dot"/>
        </w:tabs>
        <w:spacing w:lineRule="exact" w:line="540" w:before="0" w:after="0"/>
        <w:ind w:firstLine="0" w:left="210"/>
      </w:pPr>
      <w:r>
        <w:rPr>
          <w:rFonts w:ascii="楷体" w:hAnsi="楷体" w:eastAsia="楷体" w:cs="楷体" w:hint="eastAsia"/>
          <w:b w:val="0"/>
          <w:i w:val="0"/>
          <w:sz w:val="28"/>
        </w:rPr>
        <w:t>5.1危险化学品重大危险源</w:t>
        <w:tab/>
        <w:t>40</w:t>
      </w:r>
    </w:p>
    <w:p>
      <w:pPr>
        <w:tabs>
          <w:tab w:pos="9184" w:val="right" w:leader="dot"/>
        </w:tabs>
        <w:spacing w:lineRule="exact" w:line="540" w:before="0" w:after="0"/>
        <w:ind w:firstLine="0" w:left="210"/>
      </w:pPr>
      <w:r>
        <w:rPr>
          <w:rFonts w:ascii="楷体" w:hAnsi="楷体" w:eastAsia="楷体" w:cs="楷体" w:hint="eastAsia"/>
          <w:b w:val="0"/>
          <w:i w:val="0"/>
          <w:sz w:val="28"/>
        </w:rPr>
        <w:t>5.2重点危险场所及设备设施危险辨识</w:t>
        <w:tab/>
        <w:t>41</w:t>
      </w:r>
    </w:p>
    <w:p>
      <w:pPr>
        <w:tabs>
          <w:tab w:pos="9184" w:val="right" w:leader="dot"/>
        </w:tabs>
        <w:spacing w:lineRule="exact" w:line="540" w:before="0" w:after="0"/>
        <w:ind w:firstLine="0" w:left="210"/>
      </w:pPr>
      <w:r>
        <w:rPr>
          <w:rFonts w:ascii="楷体" w:hAnsi="楷体" w:eastAsia="楷体" w:cs="楷体" w:hint="eastAsia"/>
          <w:b w:val="0"/>
          <w:i w:val="0"/>
          <w:sz w:val="28"/>
        </w:rPr>
        <w:t>5.3检测与监控系统</w:t>
        <w:tab/>
        <w:t>43</w:t>
      </w:r>
    </w:p>
    <w:p>
      <w:pPr>
        <w:tabs>
          <w:tab w:pos="9184" w:val="right" w:leader="dot"/>
        </w:tabs>
        <w:spacing w:lineRule="exact" w:line="540" w:before="100" w:after="100"/>
        <w:ind w:firstLine="0" w:left="0"/>
      </w:pPr>
      <w:r>
        <w:rPr>
          <w:rFonts w:ascii="黑体" w:hAnsi="黑体" w:eastAsia="黑体" w:cs="黑体" w:hint="eastAsia"/>
          <w:b w:val="0"/>
          <w:i w:val="0"/>
          <w:sz w:val="28"/>
        </w:rPr>
        <w:t>6安全设施设计采取的防范措施</w:t>
        <w:tab/>
        <w:t>45</w:t>
      </w:r>
    </w:p>
    <w:p>
      <w:pPr>
        <w:tabs>
          <w:tab w:pos="9184" w:val="right" w:leader="dot"/>
        </w:tabs>
        <w:spacing w:lineRule="exact" w:line="540" w:before="0" w:after="0"/>
        <w:ind w:firstLine="0" w:left="210"/>
      </w:pPr>
      <w:r>
        <w:rPr>
          <w:rFonts w:ascii="楷体" w:hAnsi="楷体" w:eastAsia="楷体" w:cs="楷体" w:hint="eastAsia"/>
          <w:b w:val="0"/>
          <w:i w:val="0"/>
          <w:sz w:val="28"/>
        </w:rPr>
        <w:t>6.1危险物料安全措施</w:t>
        <w:tab/>
        <w:t>45</w:t>
      </w:r>
    </w:p>
    <w:p>
      <w:pPr>
        <w:tabs>
          <w:tab w:pos="9184" w:val="right" w:leader="dot"/>
        </w:tabs>
        <w:spacing w:lineRule="exact" w:line="540" w:before="0" w:after="0"/>
        <w:ind w:firstLine="0" w:left="210"/>
      </w:pPr>
      <w:r>
        <w:rPr>
          <w:rFonts w:ascii="楷体" w:hAnsi="楷体" w:eastAsia="楷体" w:cs="楷体" w:hint="eastAsia"/>
          <w:b w:val="0"/>
          <w:i w:val="0"/>
          <w:sz w:val="28"/>
        </w:rPr>
        <w:t>6.2工艺流程及设备设施</w:t>
        <w:tab/>
        <w:t>46</w:t>
      </w:r>
    </w:p>
    <w:p>
      <w:pPr>
        <w:tabs>
          <w:tab w:pos="9184" w:val="right" w:leader="dot"/>
        </w:tabs>
        <w:spacing w:lineRule="exact" w:line="540" w:before="0" w:after="0"/>
        <w:ind w:firstLine="0" w:left="210"/>
      </w:pPr>
      <w:r>
        <w:rPr>
          <w:rFonts w:ascii="楷体" w:hAnsi="楷体" w:eastAsia="楷体" w:cs="楷体" w:hint="eastAsia"/>
          <w:b w:val="0"/>
          <w:i w:val="0"/>
          <w:sz w:val="28"/>
        </w:rPr>
        <w:t>6.3职业危害</w:t>
        <w:tab/>
        <w:t>47</w:t>
      </w:r>
    </w:p>
    <w:p>
      <w:pPr>
        <w:tabs>
          <w:tab w:pos="9184" w:val="right" w:leader="dot"/>
        </w:tabs>
        <w:spacing w:lineRule="exact" w:line="540" w:before="0" w:after="0"/>
        <w:ind w:firstLine="0" w:left="210"/>
      </w:pPr>
      <w:r>
        <w:rPr>
          <w:rFonts w:ascii="楷体" w:hAnsi="楷体" w:eastAsia="楷体" w:cs="楷体" w:hint="eastAsia"/>
          <w:b w:val="0"/>
          <w:i w:val="0"/>
          <w:sz w:val="28"/>
        </w:rPr>
        <w:t>6.4公用辅助设施</w:t>
        <w:tab/>
        <w:t>48</w:t>
      </w:r>
    </w:p>
    <w:p>
      <w:pPr>
        <w:tabs>
          <w:tab w:pos="9184" w:val="right" w:leader="dot"/>
        </w:tabs>
        <w:spacing w:lineRule="exact" w:line="540" w:before="0" w:after="0"/>
        <w:ind w:firstLine="0" w:left="210"/>
      </w:pPr>
      <w:r>
        <w:rPr>
          <w:rFonts w:ascii="楷体" w:hAnsi="楷体" w:eastAsia="楷体" w:cs="楷体" w:hint="eastAsia"/>
          <w:b w:val="0"/>
          <w:i w:val="0"/>
          <w:sz w:val="28"/>
        </w:rPr>
        <w:t>6.5自然灾害防范措施</w:t>
        <w:tab/>
        <w:t>51</w:t>
      </w:r>
    </w:p>
    <w:p>
      <w:pPr>
        <w:tabs>
          <w:tab w:pos="9184" w:val="right" w:leader="dot"/>
        </w:tabs>
        <w:spacing w:lineRule="exact" w:line="540" w:before="0" w:after="0"/>
        <w:ind w:firstLine="0" w:left="210"/>
      </w:pPr>
      <w:r>
        <w:rPr>
          <w:rFonts w:ascii="楷体" w:hAnsi="楷体" w:eastAsia="楷体" w:cs="楷体" w:hint="eastAsia"/>
          <w:b w:val="0"/>
          <w:i w:val="0"/>
          <w:sz w:val="28"/>
        </w:rPr>
        <w:t>6.6其他</w:t>
        <w:tab/>
        <w:t>51</w:t>
      </w:r>
    </w:p>
    <w:p>
      <w:pPr>
        <w:tabs>
          <w:tab w:pos="9184" w:val="right" w:leader="dot"/>
        </w:tabs>
        <w:spacing w:lineRule="exact" w:line="540" w:before="100" w:after="100"/>
        <w:ind w:firstLine="0" w:left="0"/>
      </w:pPr>
      <w:r>
        <w:rPr>
          <w:rFonts w:ascii="黑体" w:hAnsi="黑体" w:eastAsia="黑体" w:cs="黑体" w:hint="eastAsia"/>
          <w:b w:val="0"/>
          <w:i w:val="0"/>
          <w:sz w:val="28"/>
        </w:rPr>
        <w:t>7安全管理机构设置及安全管理人员配置</w:t>
        <w:tab/>
        <w:t>54</w:t>
      </w:r>
    </w:p>
    <w:p>
      <w:pPr>
        <w:tabs>
          <w:tab w:pos="9184" w:val="right" w:leader="dot"/>
        </w:tabs>
        <w:spacing w:lineRule="exact" w:line="540" w:before="0" w:after="0"/>
        <w:ind w:firstLine="0" w:left="210"/>
      </w:pPr>
      <w:r>
        <w:rPr>
          <w:rFonts w:ascii="楷体" w:hAnsi="楷体" w:eastAsia="楷体" w:cs="楷体" w:hint="eastAsia"/>
          <w:b w:val="0"/>
          <w:i w:val="0"/>
          <w:sz w:val="28"/>
        </w:rPr>
        <w:t>7.1安全管理机构设置</w:t>
        <w:tab/>
        <w:t>54</w:t>
      </w:r>
    </w:p>
    <w:p>
      <w:pPr>
        <w:tabs>
          <w:tab w:pos="9184" w:val="right" w:leader="dot"/>
        </w:tabs>
        <w:spacing w:lineRule="exact" w:line="540" w:before="0" w:after="0"/>
        <w:ind w:firstLine="0" w:left="210"/>
      </w:pPr>
      <w:r>
        <w:rPr>
          <w:rFonts w:ascii="楷体" w:hAnsi="楷体" w:eastAsia="楷体" w:cs="楷体" w:hint="eastAsia"/>
          <w:b w:val="0"/>
          <w:i w:val="0"/>
          <w:sz w:val="28"/>
        </w:rPr>
        <w:t>7.2安全管理人员配备及职责</w:t>
        <w:tab/>
        <w:t>54</w:t>
      </w:r>
    </w:p>
    <w:p>
      <w:pPr>
        <w:tabs>
          <w:tab w:pos="9184" w:val="right" w:leader="dot"/>
        </w:tabs>
        <w:spacing w:lineRule="exact" w:line="540" w:before="0" w:after="0"/>
        <w:ind w:firstLine="0" w:left="210"/>
      </w:pPr>
      <w:r>
        <w:rPr>
          <w:rFonts w:ascii="楷体" w:hAnsi="楷体" w:eastAsia="楷体" w:cs="楷体" w:hint="eastAsia"/>
          <w:b w:val="0"/>
          <w:i w:val="0"/>
          <w:sz w:val="28"/>
        </w:rPr>
        <w:t>7.3安全管理要求</w:t>
        <w:tab/>
        <w:t>55</w:t>
      </w:r>
    </w:p>
    <w:p>
      <w:pPr>
        <w:tabs>
          <w:tab w:pos="9184" w:val="right" w:leader="dot"/>
        </w:tabs>
        <w:spacing w:lineRule="exact" w:line="540" w:before="0" w:after="0"/>
        <w:ind w:firstLine="0" w:left="210"/>
      </w:pPr>
      <w:r>
        <w:rPr>
          <w:rFonts w:ascii="楷体" w:hAnsi="楷体" w:eastAsia="楷体" w:cs="楷体" w:hint="eastAsia"/>
          <w:b w:val="0"/>
          <w:i w:val="0"/>
          <w:sz w:val="28"/>
        </w:rPr>
        <w:t>7.4劳动防护用品的配备</w:t>
        <w:tab/>
        <w:t>56</w:t>
      </w:r>
    </w:p>
    <w:p>
      <w:pPr>
        <w:tabs>
          <w:tab w:pos="9184" w:val="right" w:leader="dot"/>
        </w:tabs>
        <w:spacing w:lineRule="exact" w:line="540" w:before="0" w:after="0"/>
        <w:ind w:firstLine="0" w:left="210"/>
      </w:pPr>
      <w:r>
        <w:rPr>
          <w:rFonts w:ascii="楷体" w:hAnsi="楷体" w:eastAsia="楷体" w:cs="楷体" w:hint="eastAsia"/>
          <w:b w:val="0"/>
          <w:i w:val="0"/>
          <w:sz w:val="28"/>
        </w:rPr>
        <w:t>7.5应急管理</w:t>
        <w:tab/>
        <w:t>57</w:t>
      </w:r>
    </w:p>
    <w:p>
      <w:pPr>
        <w:tabs>
          <w:tab w:pos="9184" w:val="right" w:leader="dot"/>
        </w:tabs>
        <w:spacing w:lineRule="exact" w:line="540" w:before="100" w:after="100"/>
        <w:ind w:firstLine="0" w:left="0"/>
      </w:pPr>
      <w:r>
        <w:rPr>
          <w:rFonts w:ascii="黑体" w:hAnsi="黑体" w:eastAsia="黑体" w:cs="黑体" w:hint="eastAsia"/>
          <w:b w:val="0"/>
          <w:i w:val="0"/>
          <w:sz w:val="28"/>
        </w:rPr>
        <w:t>8从业人员安全教育培训</w:t>
        <w:tab/>
        <w:t>59</w:t>
      </w:r>
    </w:p>
    <w:p>
      <w:pPr>
        <w:tabs>
          <w:tab w:pos="9184" w:val="right" w:leader="dot"/>
        </w:tabs>
        <w:spacing w:lineRule="exact" w:line="540" w:before="0" w:after="0"/>
        <w:ind w:firstLine="0" w:left="210"/>
      </w:pPr>
      <w:r>
        <w:rPr>
          <w:rFonts w:ascii="楷体" w:hAnsi="楷体" w:eastAsia="楷体" w:cs="楷体" w:hint="eastAsia"/>
          <w:b w:val="0"/>
          <w:i w:val="0"/>
          <w:sz w:val="28"/>
        </w:rPr>
        <w:t>8.1从业人员安全教育培训</w:t>
        <w:tab/>
        <w:t>59</w:t>
      </w:r>
    </w:p>
    <w:p>
      <w:pPr>
        <w:tabs>
          <w:tab w:pos="9184" w:val="right" w:leader="dot"/>
        </w:tabs>
        <w:spacing w:lineRule="exact" w:line="540" w:before="0" w:after="0"/>
        <w:ind w:firstLine="0" w:left="210"/>
      </w:pPr>
      <w:r>
        <w:rPr>
          <w:rFonts w:ascii="楷体" w:hAnsi="楷体" w:eastAsia="楷体" w:cs="楷体" w:hint="eastAsia"/>
          <w:b w:val="0"/>
          <w:i w:val="0"/>
          <w:sz w:val="28"/>
        </w:rPr>
        <w:t>8.2安全教育、培训设施与器材</w:t>
        <w:tab/>
        <w:t>59</w:t>
      </w:r>
    </w:p>
    <w:p>
      <w:pPr>
        <w:tabs>
          <w:tab w:pos="9184" w:val="right" w:leader="dot"/>
        </w:tabs>
        <w:spacing w:lineRule="exact" w:line="540" w:before="100" w:after="100"/>
        <w:ind w:firstLine="0" w:left="0"/>
      </w:pPr>
      <w:r>
        <w:rPr>
          <w:rFonts w:ascii="黑体" w:hAnsi="黑体" w:eastAsia="黑体" w:cs="黑体" w:hint="eastAsia"/>
          <w:b w:val="0"/>
          <w:i w:val="0"/>
          <w:sz w:val="28"/>
        </w:rPr>
        <w:t>9工艺、技术和设备、设施的先进性和可靠性分析</w:t>
        <w:tab/>
        <w:t>61</w:t>
      </w:r>
    </w:p>
    <w:p>
      <w:pPr>
        <w:tabs>
          <w:tab w:pos="9184" w:val="right" w:leader="dot"/>
        </w:tabs>
        <w:spacing w:lineRule="exact" w:line="540" w:before="100" w:after="100"/>
        <w:ind w:firstLine="0" w:left="0"/>
      </w:pPr>
      <w:r>
        <w:rPr>
          <w:rFonts w:ascii="黑体" w:hAnsi="黑体" w:eastAsia="黑体" w:cs="黑体" w:hint="eastAsia"/>
          <w:b w:val="0"/>
          <w:i w:val="0"/>
          <w:sz w:val="28"/>
        </w:rPr>
        <w:t>10安全设施专项投资概算</w:t>
        <w:tab/>
        <w:t>62</w:t>
      </w:r>
    </w:p>
    <w:p>
      <w:pPr>
        <w:tabs>
          <w:tab w:pos="9184" w:val="right" w:leader="dot"/>
        </w:tabs>
        <w:spacing w:lineRule="exact" w:line="540" w:before="0" w:after="0"/>
        <w:ind w:firstLine="0" w:left="210"/>
      </w:pPr>
      <w:r>
        <w:rPr>
          <w:rFonts w:ascii="楷体" w:hAnsi="楷体" w:eastAsia="楷体" w:cs="楷体" w:hint="eastAsia"/>
          <w:b w:val="0"/>
          <w:i w:val="0"/>
          <w:sz w:val="28"/>
        </w:rPr>
        <w:t>10.1安全设施总投资概算</w:t>
        <w:tab/>
        <w:t>62</w:t>
      </w:r>
    </w:p>
    <w:p>
      <w:pPr>
        <w:tabs>
          <w:tab w:pos="9184" w:val="right" w:leader="dot"/>
        </w:tabs>
        <w:spacing w:lineRule="exact" w:line="540" w:before="0" w:after="0"/>
        <w:ind w:firstLine="0" w:left="210"/>
      </w:pPr>
      <w:r>
        <w:rPr>
          <w:rFonts w:ascii="楷体" w:hAnsi="楷体" w:eastAsia="楷体" w:cs="楷体" w:hint="eastAsia"/>
          <w:b w:val="0"/>
          <w:i w:val="0"/>
          <w:sz w:val="28"/>
        </w:rPr>
        <w:t>10.2安全设施分类投资概算</w:t>
        <w:tab/>
        <w:t>62</w:t>
      </w:r>
    </w:p>
    <w:p>
      <w:pPr>
        <w:tabs>
          <w:tab w:pos="9184" w:val="right" w:leader="dot"/>
        </w:tabs>
        <w:spacing w:lineRule="exact" w:line="540" w:before="0" w:after="0"/>
        <w:ind w:firstLine="0" w:left="210"/>
      </w:pPr>
      <w:r>
        <w:rPr>
          <w:rFonts w:ascii="楷体" w:hAnsi="楷体" w:eastAsia="楷体" w:cs="楷体" w:hint="eastAsia"/>
          <w:b w:val="0"/>
          <w:i w:val="0"/>
          <w:sz w:val="28"/>
        </w:rPr>
        <w:t>10.2.1主要生产环节及设备安全防范设施费用概算</w:t>
        <w:tab/>
        <w:t>62</w:t>
      </w:r>
    </w:p>
    <w:p>
      <w:pPr>
        <w:tabs>
          <w:tab w:pos="9184" w:val="right" w:leader="dot"/>
        </w:tabs>
        <w:spacing w:lineRule="exact" w:line="540" w:before="0" w:after="0"/>
        <w:ind w:firstLine="0" w:left="210"/>
      </w:pPr>
      <w:r>
        <w:rPr>
          <w:rFonts w:ascii="楷体" w:hAnsi="楷体" w:eastAsia="楷体" w:cs="楷体" w:hint="eastAsia"/>
          <w:b w:val="0"/>
          <w:i w:val="0"/>
          <w:sz w:val="28"/>
        </w:rPr>
        <w:t>10.2.2安全教育培训费用</w:t>
        <w:tab/>
        <w:t>63</w:t>
      </w:r>
    </w:p>
    <w:p>
      <w:pPr>
        <w:tabs>
          <w:tab w:pos="9184" w:val="right" w:leader="dot"/>
        </w:tabs>
        <w:spacing w:lineRule="exact" w:line="540" w:before="0" w:after="0"/>
        <w:ind w:firstLine="0" w:left="210"/>
      </w:pPr>
      <w:r>
        <w:rPr>
          <w:rFonts w:ascii="楷体" w:hAnsi="楷体" w:eastAsia="楷体" w:cs="楷体" w:hint="eastAsia"/>
          <w:b w:val="0"/>
          <w:i w:val="0"/>
          <w:sz w:val="28"/>
        </w:rPr>
        <w:t>10.2.3事故应急救援措施费用</w:t>
        <w:tab/>
        <w:t>63</w:t>
      </w:r>
    </w:p>
    <w:p>
      <w:pPr>
        <w:tabs>
          <w:tab w:pos="9184" w:val="right" w:leader="dot"/>
        </w:tabs>
        <w:spacing w:lineRule="exact" w:line="540" w:before="0" w:after="0"/>
        <w:ind w:firstLine="0" w:left="210"/>
      </w:pPr>
      <w:r>
        <w:rPr>
          <w:rFonts w:ascii="楷体" w:hAnsi="楷体" w:eastAsia="楷体" w:cs="楷体" w:hint="eastAsia"/>
          <w:b w:val="0"/>
          <w:i w:val="0"/>
          <w:sz w:val="28"/>
        </w:rPr>
        <w:t>10.2.4其它安全投资费用</w:t>
        <w:tab/>
        <w:t>63</w:t>
      </w:r>
    </w:p>
    <w:p>
      <w:pPr>
        <w:tabs>
          <w:tab w:pos="9184" w:val="right" w:leader="dot"/>
        </w:tabs>
        <w:spacing w:lineRule="exact" w:line="540" w:before="100" w:after="100"/>
        <w:ind w:firstLine="0" w:left="0"/>
      </w:pPr>
      <w:r>
        <w:rPr>
          <w:rFonts w:ascii="黑体" w:hAnsi="黑体" w:eastAsia="黑体" w:cs="黑体" w:hint="eastAsia"/>
          <w:b w:val="0"/>
          <w:i w:val="0"/>
          <w:sz w:val="28"/>
        </w:rPr>
        <w:t>11安全预评价报告中安全对策措施建议的采纳情况</w:t>
        <w:tab/>
        <w:t>65</w:t>
      </w:r>
    </w:p>
    <w:p>
      <w:pPr>
        <w:tabs>
          <w:tab w:pos="9184" w:val="right" w:leader="dot"/>
        </w:tabs>
        <w:spacing w:lineRule="exact" w:line="540" w:before="0" w:after="0"/>
        <w:ind w:firstLine="0" w:left="210"/>
      </w:pPr>
      <w:r>
        <w:rPr>
          <w:rFonts w:ascii="楷体" w:hAnsi="楷体" w:eastAsia="楷体" w:cs="楷体" w:hint="eastAsia"/>
          <w:b w:val="0"/>
          <w:i w:val="0"/>
          <w:sz w:val="28"/>
        </w:rPr>
        <w:t>11.1安全设施工程内容</w:t>
        <w:tab/>
        <w:t>65</w:t>
      </w:r>
    </w:p>
    <w:p>
      <w:pPr>
        <w:tabs>
          <w:tab w:pos="9184" w:val="right" w:leader="dot"/>
        </w:tabs>
        <w:spacing w:lineRule="exact" w:line="540" w:before="0" w:after="0"/>
        <w:ind w:firstLine="0" w:left="210"/>
      </w:pPr>
      <w:r>
        <w:rPr>
          <w:rFonts w:ascii="楷体" w:hAnsi="楷体" w:eastAsia="楷体" w:cs="楷体" w:hint="eastAsia"/>
          <w:b w:val="0"/>
          <w:i w:val="0"/>
          <w:sz w:val="28"/>
        </w:rPr>
        <w:t>11.2安全预评价报告结论</w:t>
        <w:tab/>
        <w:t>65</w:t>
      </w:r>
    </w:p>
    <w:p>
      <w:pPr>
        <w:tabs>
          <w:tab w:pos="9184" w:val="right" w:leader="dot"/>
        </w:tabs>
        <w:spacing w:lineRule="exact" w:line="540" w:before="0" w:after="0"/>
        <w:ind w:firstLine="0" w:left="210"/>
      </w:pPr>
      <w:r>
        <w:rPr>
          <w:rFonts w:ascii="楷体" w:hAnsi="楷体" w:eastAsia="楷体" w:cs="楷体" w:hint="eastAsia"/>
          <w:b w:val="0"/>
          <w:i w:val="0"/>
          <w:sz w:val="28"/>
        </w:rPr>
        <w:t>11.3安全措施采纳情况</w:t>
        <w:tab/>
        <w:t>65</w:t>
      </w:r>
    </w:p>
    <w:p>
      <w:pPr>
        <w:tabs>
          <w:tab w:pos="9184" w:val="right" w:leader="dot"/>
        </w:tabs>
        <w:spacing w:lineRule="exact" w:line="540" w:before="100" w:after="100"/>
        <w:ind w:firstLine="0" w:left="0"/>
      </w:pPr>
      <w:r>
        <w:rPr>
          <w:rFonts w:ascii="黑体" w:hAnsi="黑体" w:eastAsia="黑体" w:cs="黑体" w:hint="eastAsia"/>
          <w:b w:val="0"/>
          <w:i w:val="0"/>
          <w:sz w:val="28"/>
        </w:rPr>
        <w:t>12预期效果与建议</w:t>
        <w:tab/>
        <w:t>67</w:t>
      </w:r>
    </w:p>
    <w:p>
      <w:pPr>
        <w:tabs>
          <w:tab w:pos="9184" w:val="right" w:leader="dot"/>
        </w:tabs>
        <w:spacing w:lineRule="exact" w:line="540" w:before="0" w:after="0"/>
        <w:ind w:firstLine="0" w:left="210"/>
      </w:pPr>
      <w:r>
        <w:rPr>
          <w:rFonts w:ascii="楷体" w:hAnsi="楷体" w:eastAsia="楷体" w:cs="楷体" w:hint="eastAsia"/>
          <w:b w:val="0"/>
          <w:i w:val="0"/>
          <w:sz w:val="28"/>
        </w:rPr>
        <w:t>12.1结论及预期效果</w:t>
        <w:tab/>
        <w:t>67</w:t>
      </w:r>
    </w:p>
    <w:p>
      <w:pPr>
        <w:tabs>
          <w:tab w:pos="9184" w:val="right" w:leader="dot"/>
        </w:tabs>
        <w:spacing w:lineRule="exact" w:line="540" w:before="0" w:after="0"/>
        <w:ind w:firstLine="0" w:left="210"/>
      </w:pPr>
      <w:r>
        <w:rPr>
          <w:rFonts w:ascii="楷体" w:hAnsi="楷体" w:eastAsia="楷体" w:cs="楷体" w:hint="eastAsia"/>
          <w:b w:val="0"/>
          <w:i w:val="0"/>
          <w:sz w:val="28"/>
        </w:rPr>
        <w:t>12.2建议</w:t>
        <w:tab/>
        <w:t>67</w:t>
      </w:r>
    </w:p>
    <w:p>
      <w:pPr>
        <w:tabs>
          <w:tab w:pos="9184" w:val="right" w:leader="dot"/>
        </w:tabs>
        <w:spacing w:lineRule="exact" w:line="540" w:before="100" w:after="100"/>
        <w:ind w:firstLine="0" w:left="0"/>
      </w:pPr>
      <w:r>
        <w:rPr>
          <w:rFonts w:ascii="黑体" w:hAnsi="黑体" w:eastAsia="黑体" w:cs="黑体" w:hint="eastAsia"/>
          <w:b w:val="0"/>
          <w:i w:val="0"/>
          <w:sz w:val="28"/>
        </w:rPr>
        <w:t>13可能出现的事故预防及应急救援措施</w:t>
        <w:tab/>
        <w:t>68</w:t>
      </w:r>
    </w:p>
    <w:p>
      <w:pPr>
        <w:tabs>
          <w:tab w:pos="9184" w:val="right" w:leader="dot"/>
        </w:tabs>
        <w:spacing w:lineRule="exact" w:line="540" w:before="0" w:after="0"/>
        <w:ind w:firstLine="0" w:left="210"/>
      </w:pPr>
      <w:r>
        <w:rPr>
          <w:rFonts w:ascii="楷体" w:hAnsi="楷体" w:eastAsia="楷体" w:cs="楷体" w:hint="eastAsia"/>
          <w:b w:val="0"/>
          <w:i w:val="0"/>
          <w:sz w:val="28"/>
        </w:rPr>
        <w:t>13.1可能出现的重大事故类型</w:t>
        <w:tab/>
        <w:t>68</w:t>
      </w:r>
    </w:p>
    <w:p>
      <w:pPr>
        <w:tabs>
          <w:tab w:pos="9184" w:val="right" w:leader="dot"/>
        </w:tabs>
        <w:spacing w:lineRule="exact" w:line="540" w:before="0" w:after="0"/>
        <w:ind w:firstLine="0" w:left="210"/>
      </w:pPr>
      <w:r>
        <w:rPr>
          <w:rFonts w:ascii="楷体" w:hAnsi="楷体" w:eastAsia="楷体" w:cs="楷体" w:hint="eastAsia"/>
          <w:b w:val="0"/>
          <w:i w:val="0"/>
          <w:sz w:val="28"/>
        </w:rPr>
        <w:t>13.2事故状态下应急救援措施和现场处理措施</w:t>
        <w:tab/>
        <w:t>68</w:t>
      </w:r>
    </w:p>
    <w:p>
      <w:pPr>
        <w:tabs>
          <w:tab w:pos="9184" w:val="right" w:leader="dot"/>
        </w:tabs>
        <w:spacing w:lineRule="exact" w:line="540" w:before="100" w:after="100"/>
        <w:ind w:firstLine="0" w:left="0"/>
      </w:pPr>
      <w:r>
        <w:rPr>
          <w:rFonts w:ascii="黑体" w:hAnsi="黑体" w:eastAsia="黑体" w:cs="黑体" w:hint="eastAsia"/>
          <w:b w:val="0"/>
          <w:i w:val="0"/>
          <w:sz w:val="28"/>
        </w:rPr>
        <w:t>14法律、法规、规章、标准规定需要说明的其他事项</w:t>
        <w:tab/>
        <w:t>70</w:t>
      </w:r>
    </w:p>
    <w:p>
      <w:pPr>
        <w:tabs>
          <w:tab w:pos="9184" w:val="right" w:leader="dot"/>
        </w:tabs>
        <w:spacing w:lineRule="exact" w:line="540" w:before="100" w:after="100"/>
        <w:ind w:firstLine="0" w:left="0"/>
      </w:pPr>
      <w:r>
        <w:rPr>
          <w:rFonts w:ascii="黑体" w:hAnsi="黑体" w:eastAsia="黑体" w:cs="黑体" w:hint="eastAsia"/>
          <w:b w:val="0"/>
          <w:i w:val="0"/>
          <w:sz w:val="28"/>
        </w:rPr>
        <w:t>15附件、附表与附图</w:t>
        <w:tab/>
        <w:t>71</w:t>
      </w:r>
    </w:p>
    <w:p>
      <w:pPr>
        <w:tabs>
          <w:tab w:pos="9184" w:val="right" w:leader="dot"/>
        </w:tabs>
        <w:spacing w:lineRule="exact" w:line="540" w:before="0" w:after="0"/>
        <w:ind w:firstLine="0" w:left="210"/>
      </w:pPr>
      <w:r>
        <w:rPr>
          <w:rFonts w:ascii="楷体" w:hAnsi="楷体" w:eastAsia="楷体" w:cs="楷体" w:hint="eastAsia"/>
          <w:b w:val="0"/>
          <w:i w:val="0"/>
          <w:sz w:val="28"/>
        </w:rPr>
        <w:t>15.1附件</w:t>
        <w:tab/>
        <w:t>71</w:t>
      </w:r>
    </w:p>
    <w:p>
      <w:pPr>
        <w:tabs>
          <w:tab w:pos="9184" w:val="right" w:leader="dot"/>
        </w:tabs>
        <w:spacing w:lineRule="exact" w:line="540" w:before="0" w:after="0"/>
        <w:ind w:firstLine="0" w:left="210"/>
      </w:pPr>
      <w:r>
        <w:rPr>
          <w:rFonts w:ascii="楷体" w:hAnsi="楷体" w:eastAsia="楷体" w:cs="楷体" w:hint="eastAsia"/>
          <w:b w:val="0"/>
          <w:i w:val="0"/>
          <w:sz w:val="28"/>
        </w:rPr>
        <w:t>15.2附表</w:t>
        <w:tab/>
        <w:t>71</w:t>
      </w:r>
    </w:p>
    <w:p>
      <w:pPr>
        <w:tabs>
          <w:tab w:pos="9184" w:val="right" w:leader="dot"/>
        </w:tabs>
        <w:spacing w:lineRule="exact" w:line="540" w:before="0" w:after="0"/>
        <w:ind w:firstLine="0" w:left="210"/>
      </w:pPr>
      <w:r>
        <w:rPr>
          <w:rFonts w:ascii="楷体" w:hAnsi="楷体" w:eastAsia="楷体" w:cs="楷体" w:hint="eastAsia"/>
          <w:b w:val="0"/>
          <w:i w:val="0"/>
          <w:sz w:val="28"/>
        </w:rPr>
        <w:t>15.3附图</w:t>
        <w:tab/>
        <w:t>72</w:t>
      </w:r>
      <w:r>
        <w:rPr>
          <w:rFonts w:ascii="黑体" w:hAnsi="黑体" w:eastAsia="黑体" w:cs="黑体" w:hint="eastAsia"/>
          <w:b w:val="0"/>
          <w:i w:val="0"/>
          <w:sz w:val="28"/>
        </w:rPr>
        <w:fldChar w:fldCharType="end"/>
      </w:r>
    </w:p>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1设计依据</w:t>
      </w:r>
    </w:p>
    <w:p>
      <w:pPr>
        <w:pStyle w:val="Heading2"/>
        <w:keepNext/>
        <w:spacing w:lineRule="exact" w:line="540" w:before="120" w:after="120"/>
        <w:ind w:firstLine="0"/>
        <w:jc w:val="both"/>
      </w:pPr>
      <w:r>
        <w:rPr>
          <w:rFonts w:ascii="楷体" w:hAnsi="楷体" w:eastAsia="楷体" w:cs="楷体" w:hint="eastAsia"/>
          <w:b w:val="0"/>
          <w:i w:val="0"/>
          <w:sz w:val="32"/>
          <w:color w:val="000000"/>
        </w:rPr>
        <w:t>1.1建设项目依据的批准文件或相关的合法证明</w:t>
      </w:r>
    </w:p>
    <w:p>
      <w:pPr>
        <w:spacing w:lineRule="exact" w:line="540" w:before="0" w:after="0"/>
        <w:ind w:firstLineChars="200" w:firstLine="280"/>
        <w:jc w:val="both"/>
      </w:pPr>
      <w:r>
        <w:rPr>
          <w:rFonts w:ascii="宋体" w:hAnsi="宋体" w:eastAsia="宋体" w:cs="宋体" w:hint="eastAsia"/>
          <w:b w:val="0"/>
          <w:i w:val="0"/>
          <w:sz w:val="28"/>
        </w:rPr>
        <w:t>建设项目依据的批准文件和相关的合法证明是安全设施设计的法定前提。本专篇编制时，建设单位应提供下列文件的原件或加盖公章的复印件：</w:t>
      </w:r>
    </w:p>
    <w:p>
      <w:pPr>
        <w:spacing w:lineRule="exact" w:line="540" w:before="0" w:after="0"/>
        <w:ind w:firstLineChars="200" w:firstLine="280"/>
        <w:jc w:val="both"/>
      </w:pPr>
      <w:r>
        <w:rPr>
          <w:rFonts w:ascii="宋体" w:hAnsi="宋体" w:eastAsia="宋体" w:cs="宋体" w:hint="eastAsia"/>
          <w:b w:val="0"/>
          <w:i w:val="0"/>
          <w:sz w:val="28"/>
        </w:rPr>
        <w:t>（1）项目备案（核准）文件</w:t>
      </w:r>
      <w:r>
        <w:rPr>
          <w:rFonts w:ascii="宋体" w:hAnsi="宋体" w:eastAsia="宋体" w:cs="宋体" w:hint="eastAsia"/>
          <w:b w:val="0"/>
          <w:i w:val="0"/>
          <w:sz w:val="28"/>
          <w:color w:val="C00000"/>
        </w:rPr>
        <w:t>【待用户填：文件名称、文号、发文机关及日期】</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（2）建设用地规划许可证</w:t>
      </w:r>
      <w:r>
        <w:rPr>
          <w:rFonts w:ascii="宋体" w:hAnsi="宋体" w:eastAsia="宋体" w:cs="宋体" w:hint="eastAsia"/>
          <w:b w:val="0"/>
          <w:i w:val="0"/>
          <w:sz w:val="28"/>
          <w:color w:val="C00000"/>
        </w:rPr>
        <w:t>【待用户填：证书编号及发证机关】</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（3）建设工程规划许可证</w:t>
      </w:r>
      <w:r>
        <w:rPr>
          <w:rFonts w:ascii="宋体" w:hAnsi="宋体" w:eastAsia="宋体" w:cs="宋体" w:hint="eastAsia"/>
          <w:b w:val="0"/>
          <w:i w:val="0"/>
          <w:sz w:val="28"/>
          <w:color w:val="C00000"/>
        </w:rPr>
        <w:t>【待用户填：证书编号及发证机关】</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（4）国有建设用地使用权证或不动产权证书</w:t>
      </w:r>
      <w:r>
        <w:rPr>
          <w:rFonts w:ascii="宋体" w:hAnsi="宋体" w:eastAsia="宋体" w:cs="宋体" w:hint="eastAsia"/>
          <w:b w:val="0"/>
          <w:i w:val="0"/>
          <w:sz w:val="28"/>
          <w:color w:val="C00000"/>
        </w:rPr>
        <w:t>【待用户填：证书编号及宗地面积】</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（5）项目可行性研究报告及其批复文件</w:t>
      </w:r>
      <w:r>
        <w:rPr>
          <w:rFonts w:ascii="宋体" w:hAnsi="宋体" w:eastAsia="宋体" w:cs="宋体" w:hint="eastAsia"/>
          <w:b w:val="0"/>
          <w:i w:val="0"/>
          <w:sz w:val="28"/>
          <w:color w:val="C00000"/>
        </w:rPr>
        <w:t>【待用户填：批复文号及日期】</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（6）安全预评价报告及其审查（备案）意见</w:t>
      </w:r>
      <w:r>
        <w:rPr>
          <w:rFonts w:ascii="宋体" w:hAnsi="宋体" w:eastAsia="宋体" w:cs="宋体" w:hint="eastAsia"/>
          <w:b w:val="0"/>
          <w:i w:val="0"/>
          <w:sz w:val="28"/>
          <w:color w:val="C00000"/>
        </w:rPr>
        <w:t>【待用户填：报告编号及审查日期】</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上述文件中，项目备案（核准）文件用于确认项目的建设性质、建设规模与建设地点；规划许可与用地证明用于确认项目用地的合法性及用地界线；安全预评价报告及其审查意见用于确认本专篇应当采纳的安全对策措施。文件的名称、文号与发证日期以建设单位提供的原件为准，本专篇不代为填写，也不以推测内容替代。</w:t>
      </w:r>
    </w:p>
    <w:p>
      <w:pPr>
        <w:spacing w:lineRule="exact" w:line="540" w:before="0" w:after="0"/>
        <w:ind w:firstLineChars="200" w:firstLine="280"/>
        <w:jc w:val="both"/>
      </w:pPr>
      <w:r>
        <w:rPr>
          <w:rFonts w:ascii="宋体" w:hAnsi="宋体" w:eastAsia="宋体" w:cs="宋体" w:hint="eastAsia"/>
          <w:b w:val="0"/>
          <w:i w:val="0"/>
          <w:sz w:val="28"/>
        </w:rPr>
        <w:t>当项目建设内容、建设规模、建设地点或者生产工艺发生重大变化时，建设单位应按《建设项目安全设施“三同时”监督管理办法》的规定重新办理相关手续，并相应修改安全设施设计。</w:t>
      </w:r>
    </w:p>
    <w:p>
      <w:pPr>
        <w:pStyle w:val="Heading2"/>
        <w:keepNext/>
        <w:spacing w:lineRule="exact" w:line="540" w:before="120" w:after="120"/>
        <w:ind w:firstLine="0"/>
        <w:jc w:val="both"/>
      </w:pPr>
      <w:r>
        <w:rPr>
          <w:rFonts w:ascii="楷体" w:hAnsi="楷体" w:eastAsia="楷体" w:cs="楷体" w:hint="eastAsia"/>
          <w:b w:val="0"/>
          <w:i w:val="0"/>
          <w:sz w:val="32"/>
          <w:color w:val="000000"/>
        </w:rPr>
        <w:t>1.2依据的法律、法规以及安全技术标准、规范、规程</w:t>
      </w:r>
    </w:p>
    <w:p>
      <w:pPr>
        <w:spacing w:lineRule="exact" w:line="540" w:before="0" w:after="0"/>
        <w:ind w:firstLineChars="200" w:firstLine="280"/>
        <w:jc w:val="both"/>
      </w:pPr>
      <w:r>
        <w:rPr>
          <w:rFonts w:ascii="宋体" w:hAnsi="宋体" w:eastAsia="宋体" w:cs="宋体" w:hint="eastAsia"/>
          <w:b w:val="0"/>
          <w:i w:val="0"/>
          <w:sz w:val="28"/>
        </w:rPr>
        <w:t>本专篇依据下列法律编制，并在相应章节落实其关于安全生产责任、安全设施“三同时”、消防、特种设备、职业卫生与应急管理的规定：</w:t>
      </w:r>
    </w:p>
    <w:p>
      <w:pPr>
        <w:spacing w:lineRule="exact" w:line="540" w:before="0" w:after="0"/>
        <w:ind w:firstLineChars="200" w:firstLine="280"/>
        <w:jc w:val="both"/>
      </w:pPr>
      <w:r>
        <w:rPr>
          <w:rFonts w:ascii="宋体" w:hAnsi="宋体" w:eastAsia="宋体" w:cs="宋体" w:hint="eastAsia"/>
          <w:b w:val="0"/>
          <w:i w:val="0"/>
          <w:sz w:val="28"/>
        </w:rPr>
        <w:t>（1）《中华人民共和国安全生产法》（2021 年修正）。</w:t>
      </w:r>
    </w:p>
    <w:p>
      <w:pPr>
        <w:spacing w:lineRule="exact" w:line="540" w:before="0" w:after="0"/>
        <w:ind w:firstLineChars="200" w:firstLine="280"/>
        <w:jc w:val="both"/>
      </w:pPr>
      <w:r>
        <w:rPr>
          <w:rFonts w:ascii="宋体" w:hAnsi="宋体" w:eastAsia="宋体" w:cs="宋体" w:hint="eastAsia"/>
          <w:b w:val="0"/>
          <w:i w:val="0"/>
          <w:sz w:val="28"/>
        </w:rPr>
        <w:t>（2）《中华人民共和国消防法》（2021 年修正）。</w:t>
      </w:r>
    </w:p>
    <w:p>
      <w:pPr>
        <w:spacing w:lineRule="exact" w:line="540" w:before="0" w:after="0"/>
        <w:ind w:firstLineChars="200" w:firstLine="280"/>
        <w:jc w:val="both"/>
      </w:pPr>
      <w:r>
        <w:rPr>
          <w:rFonts w:ascii="宋体" w:hAnsi="宋体" w:eastAsia="宋体" w:cs="宋体" w:hint="eastAsia"/>
          <w:b w:val="0"/>
          <w:i w:val="0"/>
          <w:sz w:val="28"/>
        </w:rPr>
        <w:t>（3）《中华人民共和国职业病防治法》（2018 年修正）。</w:t>
      </w:r>
    </w:p>
    <w:p>
      <w:pPr>
        <w:spacing w:lineRule="exact" w:line="540" w:before="0" w:after="0"/>
        <w:ind w:firstLineChars="200" w:firstLine="280"/>
        <w:jc w:val="both"/>
      </w:pPr>
      <w:r>
        <w:rPr>
          <w:rFonts w:ascii="宋体" w:hAnsi="宋体" w:eastAsia="宋体" w:cs="宋体" w:hint="eastAsia"/>
          <w:b w:val="0"/>
          <w:i w:val="0"/>
          <w:sz w:val="28"/>
        </w:rPr>
        <w:t>（4）《中华人民共和国特种设备安全法》（2013 年）。</w:t>
      </w:r>
    </w:p>
    <w:p>
      <w:pPr>
        <w:spacing w:lineRule="exact" w:line="540" w:before="0" w:after="0"/>
        <w:ind w:firstLineChars="200" w:firstLine="280"/>
        <w:jc w:val="both"/>
      </w:pPr>
      <w:r>
        <w:rPr>
          <w:rFonts w:ascii="宋体" w:hAnsi="宋体" w:eastAsia="宋体" w:cs="宋体" w:hint="eastAsia"/>
          <w:b w:val="0"/>
          <w:i w:val="0"/>
          <w:sz w:val="28"/>
        </w:rPr>
        <w:t>（5）《中华人民共和国建筑法》（2019 年修正）。</w:t>
      </w:r>
    </w:p>
    <w:p>
      <w:pPr>
        <w:spacing w:lineRule="exact" w:line="540" w:before="0" w:after="0"/>
        <w:ind w:firstLineChars="200" w:firstLine="280"/>
        <w:jc w:val="both"/>
      </w:pPr>
      <w:r>
        <w:rPr>
          <w:rFonts w:ascii="宋体" w:hAnsi="宋体" w:eastAsia="宋体" w:cs="宋体" w:hint="eastAsia"/>
          <w:b w:val="0"/>
          <w:i w:val="0"/>
          <w:sz w:val="28"/>
        </w:rPr>
        <w:t>（6）《中华人民共和国突发事件应对法》（2024 年修订）。</w:t>
      </w:r>
    </w:p>
    <w:p>
      <w:pPr>
        <w:spacing w:lineRule="exact" w:line="540" w:before="0" w:after="0"/>
        <w:ind w:firstLineChars="200" w:firstLine="280"/>
        <w:jc w:val="both"/>
      </w:pPr>
      <w:r>
        <w:rPr>
          <w:rFonts w:ascii="宋体" w:hAnsi="宋体" w:eastAsia="宋体" w:cs="宋体" w:hint="eastAsia"/>
          <w:b w:val="0"/>
          <w:i w:val="0"/>
          <w:sz w:val="28"/>
        </w:rPr>
        <w:t>（7）《中华人民共和国环境保护法》（2014 年修订）。</w:t>
      </w:r>
    </w:p>
    <w:p>
      <w:pPr>
        <w:spacing w:lineRule="exact" w:line="540" w:before="0" w:after="0"/>
        <w:ind w:firstLineChars="200" w:firstLine="280"/>
        <w:jc w:val="both"/>
      </w:pPr>
      <w:r>
        <w:rPr>
          <w:rFonts w:ascii="宋体" w:hAnsi="宋体" w:eastAsia="宋体" w:cs="宋体" w:hint="eastAsia"/>
          <w:b w:val="0"/>
          <w:i w:val="0"/>
          <w:sz w:val="28"/>
        </w:rPr>
        <w:t>（8）《中华人民共和国劳动法》（2018 年修正）。</w:t>
      </w:r>
    </w:p>
    <w:p>
      <w:pPr>
        <w:spacing w:lineRule="exact" w:line="540" w:before="0" w:after="0"/>
        <w:ind w:firstLineChars="200" w:firstLine="280"/>
        <w:jc w:val="both"/>
      </w:pPr>
      <w:r>
        <w:rPr>
          <w:rFonts w:ascii="宋体" w:hAnsi="宋体" w:eastAsia="宋体" w:cs="宋体" w:hint="eastAsia"/>
          <w:b w:val="0"/>
          <w:i w:val="0"/>
          <w:sz w:val="28"/>
        </w:rPr>
        <w:t>（9）《中华人民共和国城乡规划法》（2019 年修正）。</w:t>
      </w:r>
    </w:p>
    <w:p>
      <w:pPr>
        <w:spacing w:lineRule="exact" w:line="540" w:before="0" w:after="0"/>
        <w:ind w:firstLineChars="200" w:firstLine="280"/>
        <w:jc w:val="both"/>
      </w:pPr>
      <w:r>
        <w:rPr>
          <w:rFonts w:ascii="宋体" w:hAnsi="宋体" w:eastAsia="宋体" w:cs="宋体" w:hint="eastAsia"/>
          <w:b w:val="0"/>
          <w:i w:val="0"/>
          <w:sz w:val="28"/>
        </w:rPr>
        <w:t>（10）《中华人民共和国劳动合同法》（2012 年修正）。</w:t>
      </w:r>
    </w:p>
    <w:p>
      <w:pPr>
        <w:spacing w:lineRule="exact" w:line="540" w:before="0" w:after="0"/>
        <w:ind w:firstLineChars="200" w:firstLine="280"/>
        <w:jc w:val="both"/>
      </w:pPr>
      <w:r>
        <w:rPr>
          <w:rFonts w:ascii="宋体" w:hAnsi="宋体" w:eastAsia="宋体" w:cs="宋体" w:hint="eastAsia"/>
          <w:b w:val="0"/>
          <w:i w:val="0"/>
          <w:sz w:val="28"/>
        </w:rPr>
        <w:t>（11）《中华人民共和国工会法》（2021 年修正）。</w:t>
      </w:r>
    </w:p>
    <w:p>
      <w:pPr>
        <w:spacing w:lineRule="exact" w:line="540" w:before="0" w:after="0"/>
        <w:ind w:firstLineChars="200" w:firstLine="280"/>
        <w:jc w:val="both"/>
      </w:pPr>
      <w:r>
        <w:rPr>
          <w:rFonts w:ascii="宋体" w:hAnsi="宋体" w:eastAsia="宋体" w:cs="宋体" w:hint="eastAsia"/>
          <w:b w:val="0"/>
          <w:i w:val="0"/>
          <w:sz w:val="28"/>
        </w:rPr>
        <w:t>（12）《中华人民共和国道路交通安全法》（2021 年修正）。</w:t>
      </w:r>
    </w:p>
    <w:p>
      <w:pPr>
        <w:spacing w:lineRule="exact" w:line="540" w:before="0" w:after="0"/>
        <w:ind w:firstLineChars="200" w:firstLine="280"/>
        <w:jc w:val="both"/>
      </w:pPr>
      <w:r>
        <w:rPr>
          <w:rFonts w:ascii="宋体" w:hAnsi="宋体" w:eastAsia="宋体" w:cs="宋体" w:hint="eastAsia"/>
          <w:b w:val="0"/>
          <w:i w:val="0"/>
          <w:sz w:val="28"/>
        </w:rPr>
        <w:t>（13）《中华人民共和国防洪法》（2016 年修正）。</w:t>
      </w:r>
    </w:p>
    <w:p>
      <w:pPr>
        <w:spacing w:lineRule="exact" w:line="540" w:before="0" w:after="0"/>
        <w:ind w:firstLineChars="200" w:firstLine="280"/>
        <w:jc w:val="both"/>
      </w:pPr>
      <w:r>
        <w:rPr>
          <w:rFonts w:ascii="宋体" w:hAnsi="宋体" w:eastAsia="宋体" w:cs="宋体" w:hint="eastAsia"/>
          <w:b w:val="0"/>
          <w:i w:val="0"/>
          <w:sz w:val="28"/>
        </w:rPr>
        <w:t>（14）《中华人民共和国防震减灾法》（2008 年修订）。</w:t>
      </w:r>
    </w:p>
    <w:p>
      <w:pPr>
        <w:spacing w:lineRule="exact" w:line="540" w:before="0" w:after="0"/>
        <w:ind w:firstLineChars="200" w:firstLine="280"/>
        <w:jc w:val="both"/>
      </w:pPr>
      <w:r>
        <w:rPr>
          <w:rFonts w:ascii="宋体" w:hAnsi="宋体" w:eastAsia="宋体" w:cs="宋体" w:hint="eastAsia"/>
          <w:b w:val="0"/>
          <w:i w:val="0"/>
          <w:sz w:val="28"/>
        </w:rPr>
        <w:t>（15）《中华人民共和国电力法》（2018 年修正）。</w:t>
      </w:r>
    </w:p>
    <w:p>
      <w:pPr>
        <w:spacing w:lineRule="exact" w:line="540" w:before="0" w:after="0"/>
        <w:ind w:firstLineChars="200" w:firstLine="280"/>
        <w:jc w:val="both"/>
      </w:pPr>
      <w:r>
        <w:rPr>
          <w:rFonts w:ascii="宋体" w:hAnsi="宋体" w:eastAsia="宋体" w:cs="宋体" w:hint="eastAsia"/>
          <w:b w:val="0"/>
          <w:i w:val="0"/>
          <w:sz w:val="28"/>
        </w:rPr>
        <w:t>（16）《中华人民共和国气象法》（2016 年修正）。</w:t>
      </w:r>
    </w:p>
    <w:p>
      <w:pPr>
        <w:spacing w:lineRule="exact" w:line="540" w:before="0" w:after="0"/>
        <w:ind w:firstLineChars="200" w:firstLine="280"/>
        <w:jc w:val="both"/>
      </w:pPr>
      <w:r>
        <w:rPr>
          <w:rFonts w:ascii="宋体" w:hAnsi="宋体" w:eastAsia="宋体" w:cs="宋体" w:hint="eastAsia"/>
          <w:b w:val="0"/>
          <w:i w:val="0"/>
          <w:sz w:val="28"/>
        </w:rPr>
        <w:t>本专篇依据下列行政法规编制，执行其关于建设工程安全、危险化学品管理、特种设备安全监察、事故报告与调查处理的规定：</w:t>
      </w:r>
    </w:p>
    <w:p>
      <w:pPr>
        <w:spacing w:lineRule="exact" w:line="540" w:before="0" w:after="0"/>
        <w:ind w:firstLineChars="200" w:firstLine="280"/>
        <w:jc w:val="both"/>
      </w:pPr>
      <w:r>
        <w:rPr>
          <w:rFonts w:ascii="宋体" w:hAnsi="宋体" w:eastAsia="宋体" w:cs="宋体" w:hint="eastAsia"/>
          <w:b w:val="0"/>
          <w:i w:val="0"/>
          <w:sz w:val="28"/>
        </w:rPr>
        <w:t>（1）《建设工程安全生产管理条例》（国务院令第 393 号）。</w:t>
      </w:r>
    </w:p>
    <w:p>
      <w:pPr>
        <w:spacing w:lineRule="exact" w:line="540" w:before="0" w:after="0"/>
        <w:ind w:firstLineChars="200" w:firstLine="280"/>
        <w:jc w:val="both"/>
      </w:pPr>
      <w:r>
        <w:rPr>
          <w:rFonts w:ascii="宋体" w:hAnsi="宋体" w:eastAsia="宋体" w:cs="宋体" w:hint="eastAsia"/>
          <w:b w:val="0"/>
          <w:i w:val="0"/>
          <w:sz w:val="28"/>
        </w:rPr>
        <w:t>（2）《生产安全事故报告和调查处理条例》（国务院令第 493 号）。</w:t>
      </w:r>
    </w:p>
    <w:p>
      <w:pPr>
        <w:spacing w:lineRule="exact" w:line="540" w:before="0" w:after="0"/>
        <w:ind w:firstLineChars="200" w:firstLine="280"/>
        <w:jc w:val="both"/>
      </w:pPr>
      <w:r>
        <w:rPr>
          <w:rFonts w:ascii="宋体" w:hAnsi="宋体" w:eastAsia="宋体" w:cs="宋体" w:hint="eastAsia"/>
          <w:b w:val="0"/>
          <w:i w:val="0"/>
          <w:sz w:val="28"/>
        </w:rPr>
        <w:t>（3）《危险化学品安全管理条例》（国务院令第 591 号，2013 年修订）。</w:t>
      </w:r>
    </w:p>
    <w:p>
      <w:pPr>
        <w:spacing w:lineRule="exact" w:line="540" w:before="0" w:after="0"/>
        <w:ind w:firstLineChars="200" w:firstLine="280"/>
        <w:jc w:val="both"/>
      </w:pPr>
      <w:r>
        <w:rPr>
          <w:rFonts w:ascii="宋体" w:hAnsi="宋体" w:eastAsia="宋体" w:cs="宋体" w:hint="eastAsia"/>
          <w:b w:val="0"/>
          <w:i w:val="0"/>
          <w:sz w:val="28"/>
        </w:rPr>
        <w:t>（4）《特种设备安全监察条例》（国务院令第 549 号）。</w:t>
      </w:r>
    </w:p>
    <w:p>
      <w:pPr>
        <w:spacing w:lineRule="exact" w:line="540" w:before="0" w:after="0"/>
        <w:ind w:firstLineChars="200" w:firstLine="280"/>
        <w:jc w:val="both"/>
      </w:pPr>
      <w:r>
        <w:rPr>
          <w:rFonts w:ascii="宋体" w:hAnsi="宋体" w:eastAsia="宋体" w:cs="宋体" w:hint="eastAsia"/>
          <w:b w:val="0"/>
          <w:i w:val="0"/>
          <w:sz w:val="28"/>
        </w:rPr>
        <w:t>（5）《工伤保险条例》（国务院令第 586 号）。</w:t>
      </w:r>
    </w:p>
    <w:p>
      <w:pPr>
        <w:spacing w:lineRule="exact" w:line="540" w:before="0" w:after="0"/>
        <w:ind w:firstLineChars="200" w:firstLine="280"/>
        <w:jc w:val="both"/>
      </w:pPr>
      <w:r>
        <w:rPr>
          <w:rFonts w:ascii="宋体" w:hAnsi="宋体" w:eastAsia="宋体" w:cs="宋体" w:hint="eastAsia"/>
          <w:b w:val="0"/>
          <w:i w:val="0"/>
          <w:sz w:val="28"/>
        </w:rPr>
        <w:t>（6）《女职工劳动保护特别规定》（国务院令第 619 号）。</w:t>
      </w:r>
    </w:p>
    <w:p>
      <w:pPr>
        <w:spacing w:lineRule="exact" w:line="540" w:before="0" w:after="0"/>
        <w:ind w:firstLineChars="200" w:firstLine="280"/>
        <w:jc w:val="both"/>
      </w:pPr>
      <w:r>
        <w:rPr>
          <w:rFonts w:ascii="宋体" w:hAnsi="宋体" w:eastAsia="宋体" w:cs="宋体" w:hint="eastAsia"/>
          <w:b w:val="0"/>
          <w:i w:val="0"/>
          <w:sz w:val="28"/>
        </w:rPr>
        <w:t>（7）《生产安全事故应急条例》（国务院令第 708 号）。</w:t>
      </w:r>
    </w:p>
    <w:p>
      <w:pPr>
        <w:spacing w:lineRule="exact" w:line="540" w:before="0" w:after="0"/>
        <w:ind w:firstLineChars="200" w:firstLine="280"/>
        <w:jc w:val="both"/>
      </w:pPr>
      <w:r>
        <w:rPr>
          <w:rFonts w:ascii="宋体" w:hAnsi="宋体" w:eastAsia="宋体" w:cs="宋体" w:hint="eastAsia"/>
          <w:b w:val="0"/>
          <w:i w:val="0"/>
          <w:sz w:val="28"/>
        </w:rPr>
        <w:t>（8）《建设工程质量管理条例》（国务院令第 714 号，2019 年修订）。</w:t>
      </w:r>
    </w:p>
    <w:p>
      <w:pPr>
        <w:spacing w:lineRule="exact" w:line="540" w:before="0" w:after="0"/>
        <w:ind w:firstLineChars="200" w:firstLine="280"/>
        <w:jc w:val="both"/>
      </w:pPr>
      <w:r>
        <w:rPr>
          <w:rFonts w:ascii="宋体" w:hAnsi="宋体" w:eastAsia="宋体" w:cs="宋体" w:hint="eastAsia"/>
          <w:b w:val="0"/>
          <w:i w:val="0"/>
          <w:sz w:val="28"/>
        </w:rPr>
        <w:t>（9）《电力设施保护条例》（国务院令第 588 号，2011 年修订）。</w:t>
      </w:r>
    </w:p>
    <w:p>
      <w:pPr>
        <w:spacing w:lineRule="exact" w:line="540" w:before="0" w:after="0"/>
        <w:ind w:firstLineChars="200" w:firstLine="280"/>
        <w:jc w:val="both"/>
      </w:pPr>
      <w:r>
        <w:rPr>
          <w:rFonts w:ascii="宋体" w:hAnsi="宋体" w:eastAsia="宋体" w:cs="宋体" w:hint="eastAsia"/>
          <w:b w:val="0"/>
          <w:i w:val="0"/>
          <w:sz w:val="28"/>
        </w:rPr>
        <w:t>（10）《公路安全保护条例》（国务院令第 593 号）。</w:t>
      </w:r>
    </w:p>
    <w:p>
      <w:pPr>
        <w:spacing w:lineRule="exact" w:line="540" w:before="0" w:after="0"/>
        <w:ind w:firstLineChars="200" w:firstLine="280"/>
        <w:jc w:val="both"/>
      </w:pPr>
      <w:r>
        <w:rPr>
          <w:rFonts w:ascii="宋体" w:hAnsi="宋体" w:eastAsia="宋体" w:cs="宋体" w:hint="eastAsia"/>
          <w:b w:val="0"/>
          <w:i w:val="0"/>
          <w:sz w:val="28"/>
        </w:rPr>
        <w:t>（11）《易制毒化学品管理条例》（国务院令第 703 号，2018 年修订）。</w:t>
      </w:r>
    </w:p>
    <w:p>
      <w:pPr>
        <w:spacing w:lineRule="exact" w:line="540" w:before="0" w:after="0"/>
        <w:ind w:firstLineChars="200" w:firstLine="280"/>
        <w:jc w:val="both"/>
      </w:pPr>
      <w:r>
        <w:rPr>
          <w:rFonts w:ascii="宋体" w:hAnsi="宋体" w:eastAsia="宋体" w:cs="宋体" w:hint="eastAsia"/>
          <w:b w:val="0"/>
          <w:i w:val="0"/>
          <w:sz w:val="28"/>
        </w:rPr>
        <w:t>（12）《使用有毒物品作业场所劳动保护条例》（国务院令第 352 号）。</w:t>
      </w:r>
    </w:p>
    <w:p>
      <w:pPr>
        <w:spacing w:lineRule="exact" w:line="540" w:before="0" w:after="0"/>
        <w:ind w:firstLineChars="200" w:firstLine="280"/>
        <w:jc w:val="both"/>
      </w:pPr>
      <w:r>
        <w:rPr>
          <w:rFonts w:ascii="宋体" w:hAnsi="宋体" w:eastAsia="宋体" w:cs="宋体" w:hint="eastAsia"/>
          <w:b w:val="0"/>
          <w:i w:val="0"/>
          <w:sz w:val="28"/>
        </w:rPr>
        <w:t>（13）《尘肺病防治条例》（国发〔1987〕105 号）。</w:t>
      </w:r>
    </w:p>
    <w:p>
      <w:pPr>
        <w:spacing w:lineRule="exact" w:line="540" w:before="0" w:after="0"/>
        <w:ind w:firstLineChars="200" w:firstLine="280"/>
        <w:jc w:val="both"/>
      </w:pPr>
      <w:r>
        <w:rPr>
          <w:rFonts w:ascii="宋体" w:hAnsi="宋体" w:eastAsia="宋体" w:cs="宋体" w:hint="eastAsia"/>
          <w:b w:val="0"/>
          <w:i w:val="0"/>
          <w:sz w:val="28"/>
        </w:rPr>
        <w:t>（14）《地质灾害防治条例》（国务院令第 394 号）。</w:t>
      </w:r>
    </w:p>
    <w:p>
      <w:pPr>
        <w:spacing w:lineRule="exact" w:line="540" w:before="0" w:after="0"/>
        <w:ind w:firstLineChars="200" w:firstLine="280"/>
        <w:jc w:val="both"/>
      </w:pPr>
      <w:r>
        <w:rPr>
          <w:rFonts w:ascii="宋体" w:hAnsi="宋体" w:eastAsia="宋体" w:cs="宋体" w:hint="eastAsia"/>
          <w:b w:val="0"/>
          <w:i w:val="0"/>
          <w:sz w:val="28"/>
        </w:rPr>
        <w:t>（15）《突发公共卫生事件应急条例》（国务院令第 376 号，2011 年修订）。</w:t>
      </w:r>
    </w:p>
    <w:p>
      <w:pPr>
        <w:spacing w:lineRule="exact" w:line="540" w:before="0" w:after="0"/>
        <w:ind w:firstLineChars="200" w:firstLine="280"/>
        <w:jc w:val="both"/>
      </w:pPr>
      <w:r>
        <w:rPr>
          <w:rFonts w:ascii="宋体" w:hAnsi="宋体" w:eastAsia="宋体" w:cs="宋体" w:hint="eastAsia"/>
          <w:b w:val="0"/>
          <w:i w:val="0"/>
          <w:sz w:val="28"/>
        </w:rPr>
        <w:t>（16）《气象灾害防御条例》（国务院令第 570 号，2017 年修订）。</w:t>
      </w:r>
    </w:p>
    <w:p>
      <w:pPr>
        <w:spacing w:lineRule="exact" w:line="540" w:before="0" w:after="0"/>
        <w:ind w:firstLineChars="200" w:firstLine="280"/>
        <w:jc w:val="both"/>
      </w:pPr>
      <w:r>
        <w:rPr>
          <w:rFonts w:ascii="宋体" w:hAnsi="宋体" w:eastAsia="宋体" w:cs="宋体" w:hint="eastAsia"/>
          <w:b w:val="0"/>
          <w:i w:val="0"/>
          <w:sz w:val="28"/>
        </w:rPr>
        <w:t>（17）《劳动保障监察条例》（国务院令第 423 号）。</w:t>
      </w:r>
    </w:p>
    <w:p>
      <w:pPr>
        <w:spacing w:lineRule="exact" w:line="540" w:before="0" w:after="0"/>
        <w:ind w:firstLineChars="200" w:firstLine="280"/>
        <w:jc w:val="both"/>
      </w:pPr>
      <w:r>
        <w:rPr>
          <w:rFonts w:ascii="宋体" w:hAnsi="宋体" w:eastAsia="宋体" w:cs="宋体" w:hint="eastAsia"/>
          <w:b w:val="0"/>
          <w:i w:val="0"/>
          <w:sz w:val="28"/>
        </w:rPr>
        <w:t>本专篇依据下列部门规章及规范性文件编制，执行其关于建设项目安全审查、重大危险源监督管理、粉尘防爆、有限空间作业、安全培训与劳动防护用品配备的规定：</w:t>
      </w:r>
    </w:p>
    <w:p>
      <w:pPr>
        <w:spacing w:lineRule="exact" w:line="540" w:before="0" w:after="0"/>
        <w:ind w:firstLineChars="200" w:firstLine="280"/>
        <w:jc w:val="both"/>
      </w:pPr>
      <w:r>
        <w:rPr>
          <w:rFonts w:ascii="宋体" w:hAnsi="宋体" w:eastAsia="宋体" w:cs="宋体" w:hint="eastAsia"/>
          <w:b w:val="0"/>
          <w:i w:val="0"/>
          <w:sz w:val="28"/>
        </w:rPr>
        <w:t>（1）《建设项目安全设施“三同时”监督管理办法》（原国家安全生产监督管理总局令第 36 号，第 77 号修正）。</w:t>
      </w:r>
    </w:p>
    <w:p>
      <w:pPr>
        <w:spacing w:lineRule="exact" w:line="540" w:before="0" w:after="0"/>
        <w:ind w:firstLineChars="200" w:firstLine="280"/>
        <w:jc w:val="both"/>
      </w:pPr>
      <w:r>
        <w:rPr>
          <w:rFonts w:ascii="宋体" w:hAnsi="宋体" w:eastAsia="宋体" w:cs="宋体" w:hint="eastAsia"/>
          <w:b w:val="0"/>
          <w:i w:val="0"/>
          <w:sz w:val="28"/>
        </w:rPr>
        <w:t>（2）《生产安全事故应急预案管理办法》（应急管理部令第 2 号）。</w:t>
      </w:r>
    </w:p>
    <w:p>
      <w:pPr>
        <w:spacing w:lineRule="exact" w:line="540" w:before="0" w:after="0"/>
        <w:ind w:firstLineChars="200" w:firstLine="280"/>
        <w:jc w:val="both"/>
      </w:pPr>
      <w:r>
        <w:rPr>
          <w:rFonts w:ascii="宋体" w:hAnsi="宋体" w:eastAsia="宋体" w:cs="宋体" w:hint="eastAsia"/>
          <w:b w:val="0"/>
          <w:i w:val="0"/>
          <w:sz w:val="28"/>
        </w:rPr>
        <w:t>（3）《工作场所职业卫生管理规定》（国家卫生健康委员会令第 5 号）。</w:t>
      </w:r>
    </w:p>
    <w:p>
      <w:pPr>
        <w:spacing w:lineRule="exact" w:line="540" w:before="0" w:after="0"/>
        <w:ind w:firstLineChars="200" w:firstLine="280"/>
        <w:jc w:val="both"/>
      </w:pPr>
      <w:r>
        <w:rPr>
          <w:rFonts w:ascii="宋体" w:hAnsi="宋体" w:eastAsia="宋体" w:cs="宋体" w:hint="eastAsia"/>
          <w:b w:val="0"/>
          <w:i w:val="0"/>
          <w:sz w:val="28"/>
        </w:rPr>
        <w:t>（4）《用人单位劳动防护用品管理规范》（安监总厅安健〔2018〕3 号）。</w:t>
      </w:r>
    </w:p>
    <w:p>
      <w:pPr>
        <w:spacing w:lineRule="exact" w:line="540" w:before="0" w:after="0"/>
        <w:ind w:firstLineChars="200" w:firstLine="280"/>
        <w:jc w:val="both"/>
      </w:pPr>
      <w:r>
        <w:rPr>
          <w:rFonts w:ascii="宋体" w:hAnsi="宋体" w:eastAsia="宋体" w:cs="宋体" w:hint="eastAsia"/>
          <w:b w:val="0"/>
          <w:i w:val="0"/>
          <w:sz w:val="28"/>
        </w:rPr>
        <w:t>（5）《企业安全生产费用提取和使用管理办法》（财资〔2022〕136 号）。</w:t>
      </w:r>
    </w:p>
    <w:p>
      <w:pPr>
        <w:spacing w:lineRule="exact" w:line="540" w:before="0" w:after="0"/>
        <w:ind w:firstLineChars="200" w:firstLine="280"/>
        <w:jc w:val="both"/>
      </w:pPr>
      <w:r>
        <w:rPr>
          <w:rFonts w:ascii="宋体" w:hAnsi="宋体" w:eastAsia="宋体" w:cs="宋体" w:hint="eastAsia"/>
          <w:b w:val="0"/>
          <w:i w:val="0"/>
          <w:sz w:val="28"/>
        </w:rPr>
        <w:t>（6）《特种设备使用管理规则》（TSG 08-2017）。</w:t>
      </w:r>
    </w:p>
    <w:p>
      <w:pPr>
        <w:spacing w:lineRule="exact" w:line="540" w:before="0" w:after="0"/>
        <w:ind w:firstLineChars="200" w:firstLine="280"/>
        <w:jc w:val="both"/>
      </w:pPr>
      <w:r>
        <w:rPr>
          <w:rFonts w:ascii="宋体" w:hAnsi="宋体" w:eastAsia="宋体" w:cs="宋体" w:hint="eastAsia"/>
          <w:b w:val="0"/>
          <w:i w:val="0"/>
          <w:sz w:val="28"/>
        </w:rPr>
        <w:t>（7）《产业结构调整指导目录（2024 年本）》（国家发展和改革委员会令第 7 号）。</w:t>
      </w:r>
    </w:p>
    <w:p>
      <w:pPr>
        <w:spacing w:lineRule="exact" w:line="540" w:before="0" w:after="0"/>
        <w:ind w:firstLineChars="200" w:firstLine="280"/>
        <w:jc w:val="both"/>
      </w:pPr>
      <w:r>
        <w:rPr>
          <w:rFonts w:ascii="宋体" w:hAnsi="宋体" w:eastAsia="宋体" w:cs="宋体" w:hint="eastAsia"/>
          <w:b w:val="0"/>
          <w:i w:val="0"/>
          <w:sz w:val="28"/>
        </w:rPr>
        <w:t>（8）《工贸企业粉尘防爆安全规定》（应急管理部令第 6 号）。</w:t>
      </w:r>
    </w:p>
    <w:p>
      <w:pPr>
        <w:spacing w:lineRule="exact" w:line="540" w:before="0" w:after="0"/>
        <w:ind w:firstLineChars="200" w:firstLine="280"/>
        <w:jc w:val="both"/>
      </w:pPr>
      <w:r>
        <w:rPr>
          <w:rFonts w:ascii="宋体" w:hAnsi="宋体" w:eastAsia="宋体" w:cs="宋体" w:hint="eastAsia"/>
          <w:b w:val="0"/>
          <w:i w:val="0"/>
          <w:sz w:val="28"/>
        </w:rPr>
        <w:t>（9）《特种作业人员安全技术培训考核管理规定》（原国家安全生产监督管理总局令第 30 号）。</w:t>
      </w:r>
    </w:p>
    <w:p>
      <w:pPr>
        <w:spacing w:lineRule="exact" w:line="540" w:before="0" w:after="0"/>
        <w:ind w:firstLineChars="200" w:firstLine="280"/>
        <w:jc w:val="both"/>
      </w:pPr>
      <w:r>
        <w:rPr>
          <w:rFonts w:ascii="宋体" w:hAnsi="宋体" w:eastAsia="宋体" w:cs="宋体" w:hint="eastAsia"/>
          <w:b w:val="0"/>
          <w:i w:val="0"/>
          <w:sz w:val="28"/>
        </w:rPr>
        <w:t>（10）《安全生产培训管理办法》（原国家安全生产监督管理总局令第 44 号）。</w:t>
      </w:r>
    </w:p>
    <w:p>
      <w:pPr>
        <w:spacing w:lineRule="exact" w:line="540" w:before="0" w:after="0"/>
        <w:ind w:firstLineChars="200" w:firstLine="280"/>
        <w:jc w:val="both"/>
      </w:pPr>
      <w:r>
        <w:rPr>
          <w:rFonts w:ascii="宋体" w:hAnsi="宋体" w:eastAsia="宋体" w:cs="宋体" w:hint="eastAsia"/>
          <w:b w:val="0"/>
          <w:i w:val="0"/>
          <w:sz w:val="28"/>
        </w:rPr>
        <w:t>（11）《建设项目职业病防护设施“三同时”监督管理办法》（原国家安全生产监督管理总局令第 90 号）。</w:t>
      </w:r>
    </w:p>
    <w:p>
      <w:pPr>
        <w:spacing w:lineRule="exact" w:line="540" w:before="0" w:after="0"/>
        <w:ind w:firstLineChars="200" w:firstLine="280"/>
        <w:jc w:val="both"/>
      </w:pPr>
      <w:r>
        <w:rPr>
          <w:rFonts w:ascii="宋体" w:hAnsi="宋体" w:eastAsia="宋体" w:cs="宋体" w:hint="eastAsia"/>
          <w:b w:val="0"/>
          <w:i w:val="0"/>
          <w:sz w:val="28"/>
        </w:rPr>
        <w:t>（12）《企业安全生产标准化建设定级办法》（应急〔2021〕83 号）。</w:t>
      </w:r>
    </w:p>
    <w:p>
      <w:pPr>
        <w:spacing w:lineRule="exact" w:line="540" w:before="0" w:after="0"/>
        <w:ind w:firstLineChars="200" w:firstLine="280"/>
        <w:jc w:val="both"/>
      </w:pPr>
      <w:r>
        <w:rPr>
          <w:rFonts w:ascii="宋体" w:hAnsi="宋体" w:eastAsia="宋体" w:cs="宋体" w:hint="eastAsia"/>
          <w:b w:val="0"/>
          <w:i w:val="0"/>
          <w:sz w:val="28"/>
        </w:rPr>
        <w:t>本专篇依据下列主要技术标准与规范编制。总平面布置、建筑防火、消防设施、电气与防雷、通风除尘、职业卫生等专业设计，均按下列现行有效版本执行：</w:t>
      </w:r>
    </w:p>
    <w:p>
      <w:pPr>
        <w:spacing w:lineRule="exact" w:line="540" w:before="0" w:after="0"/>
        <w:ind w:firstLineChars="200" w:firstLine="280"/>
        <w:jc w:val="both"/>
      </w:pPr>
      <w:r>
        <w:rPr>
          <w:rFonts w:ascii="宋体" w:hAnsi="宋体" w:eastAsia="宋体" w:cs="宋体" w:hint="eastAsia"/>
          <w:b w:val="0"/>
          <w:i w:val="0"/>
          <w:sz w:val="28"/>
        </w:rPr>
        <w:t>（1）《建筑设计防火规范》GB 50016-2014（2018 年版）。</w:t>
      </w:r>
    </w:p>
    <w:p>
      <w:pPr>
        <w:spacing w:lineRule="exact" w:line="540" w:before="0" w:after="0"/>
        <w:ind w:firstLineChars="200" w:firstLine="280"/>
        <w:jc w:val="both"/>
      </w:pPr>
      <w:r>
        <w:rPr>
          <w:rFonts w:ascii="宋体" w:hAnsi="宋体" w:eastAsia="宋体" w:cs="宋体" w:hint="eastAsia"/>
          <w:b w:val="0"/>
          <w:i w:val="0"/>
          <w:sz w:val="28"/>
        </w:rPr>
        <w:t>（2）《建筑防火通用规范》GB 55037-2022。</w:t>
      </w:r>
    </w:p>
    <w:p>
      <w:pPr>
        <w:spacing w:lineRule="exact" w:line="540" w:before="0" w:after="0"/>
        <w:ind w:firstLineChars="200" w:firstLine="280"/>
        <w:jc w:val="both"/>
      </w:pPr>
      <w:r>
        <w:rPr>
          <w:rFonts w:ascii="宋体" w:hAnsi="宋体" w:eastAsia="宋体" w:cs="宋体" w:hint="eastAsia"/>
          <w:b w:val="0"/>
          <w:i w:val="0"/>
          <w:sz w:val="28"/>
        </w:rPr>
        <w:t>（3）《消防设施通用规范》GB 55036-2022。</w:t>
      </w:r>
    </w:p>
    <w:p>
      <w:pPr>
        <w:spacing w:lineRule="exact" w:line="540" w:before="0" w:after="0"/>
        <w:ind w:firstLineChars="200" w:firstLine="280"/>
        <w:jc w:val="both"/>
      </w:pPr>
      <w:r>
        <w:rPr>
          <w:rFonts w:ascii="宋体" w:hAnsi="宋体" w:eastAsia="宋体" w:cs="宋体" w:hint="eastAsia"/>
          <w:b w:val="0"/>
          <w:i w:val="0"/>
          <w:sz w:val="28"/>
        </w:rPr>
        <w:t>（4）《工业企业总平面设计规范》GB 50187-2012。</w:t>
      </w:r>
    </w:p>
    <w:p>
      <w:pPr>
        <w:spacing w:lineRule="exact" w:line="540" w:before="0" w:after="0"/>
        <w:ind w:firstLineChars="200" w:firstLine="280"/>
        <w:jc w:val="both"/>
      </w:pPr>
      <w:r>
        <w:rPr>
          <w:rFonts w:ascii="宋体" w:hAnsi="宋体" w:eastAsia="宋体" w:cs="宋体" w:hint="eastAsia"/>
          <w:b w:val="0"/>
          <w:i w:val="0"/>
          <w:sz w:val="28"/>
        </w:rPr>
        <w:t>（5）《爆炸危险环境电力装置设计规范》GB 50058-2014。</w:t>
      </w:r>
    </w:p>
    <w:p>
      <w:pPr>
        <w:spacing w:lineRule="exact" w:line="540" w:before="0" w:after="0"/>
        <w:ind w:firstLineChars="200" w:firstLine="280"/>
        <w:jc w:val="both"/>
      </w:pPr>
      <w:r>
        <w:rPr>
          <w:rFonts w:ascii="宋体" w:hAnsi="宋体" w:eastAsia="宋体" w:cs="宋体" w:hint="eastAsia"/>
          <w:b w:val="0"/>
          <w:i w:val="0"/>
          <w:sz w:val="28"/>
        </w:rPr>
        <w:t>（6）《建筑物防雷设计规范》GB 50057-2010。</w:t>
      </w:r>
    </w:p>
    <w:p>
      <w:pPr>
        <w:spacing w:lineRule="exact" w:line="540" w:before="0" w:after="0"/>
        <w:ind w:firstLineChars="200" w:firstLine="280"/>
        <w:jc w:val="both"/>
      </w:pPr>
      <w:r>
        <w:rPr>
          <w:rFonts w:ascii="宋体" w:hAnsi="宋体" w:eastAsia="宋体" w:cs="宋体" w:hint="eastAsia"/>
          <w:b w:val="0"/>
          <w:i w:val="0"/>
          <w:sz w:val="28"/>
        </w:rPr>
        <w:t>（7）《供配电系统设计规范》GB 50052-2009。</w:t>
      </w:r>
    </w:p>
    <w:p>
      <w:pPr>
        <w:spacing w:lineRule="exact" w:line="540" w:before="0" w:after="0"/>
        <w:ind w:firstLineChars="200" w:firstLine="280"/>
        <w:jc w:val="both"/>
      </w:pPr>
      <w:r>
        <w:rPr>
          <w:rFonts w:ascii="宋体" w:hAnsi="宋体" w:eastAsia="宋体" w:cs="宋体" w:hint="eastAsia"/>
          <w:b w:val="0"/>
          <w:i w:val="0"/>
          <w:sz w:val="28"/>
        </w:rPr>
        <w:t>（8）《低压配电设计规范》GB 50054-2011。</w:t>
      </w:r>
    </w:p>
    <w:p>
      <w:pPr>
        <w:spacing w:lineRule="exact" w:line="540" w:before="0" w:after="0"/>
        <w:ind w:firstLineChars="200" w:firstLine="280"/>
        <w:jc w:val="both"/>
      </w:pPr>
      <w:r>
        <w:rPr>
          <w:rFonts w:ascii="宋体" w:hAnsi="宋体" w:eastAsia="宋体" w:cs="宋体" w:hint="eastAsia"/>
          <w:b w:val="0"/>
          <w:i w:val="0"/>
          <w:sz w:val="28"/>
        </w:rPr>
        <w:t>（9）《20kV 及以下变电所设计规范》GB 50053-2013。</w:t>
      </w:r>
    </w:p>
    <w:p>
      <w:pPr>
        <w:spacing w:lineRule="exact" w:line="540" w:before="0" w:after="0"/>
        <w:ind w:firstLineChars="200" w:firstLine="280"/>
        <w:jc w:val="both"/>
      </w:pPr>
      <w:r>
        <w:rPr>
          <w:rFonts w:ascii="宋体" w:hAnsi="宋体" w:eastAsia="宋体" w:cs="宋体" w:hint="eastAsia"/>
          <w:b w:val="0"/>
          <w:i w:val="0"/>
          <w:sz w:val="28"/>
        </w:rPr>
        <w:t>（10）《建筑照明设计标准》GB 50034-2013。</w:t>
      </w:r>
    </w:p>
    <w:p>
      <w:pPr>
        <w:spacing w:lineRule="exact" w:line="540" w:before="0" w:after="0"/>
        <w:ind w:firstLineChars="200" w:firstLine="280"/>
        <w:jc w:val="both"/>
      </w:pPr>
      <w:r>
        <w:rPr>
          <w:rFonts w:ascii="宋体" w:hAnsi="宋体" w:eastAsia="宋体" w:cs="宋体" w:hint="eastAsia"/>
          <w:b w:val="0"/>
          <w:i w:val="0"/>
          <w:sz w:val="28"/>
        </w:rPr>
        <w:t>（11）《工业建筑供暖通风与空气调节设计规范》GB 50019-2015。</w:t>
      </w:r>
    </w:p>
    <w:p>
      <w:pPr>
        <w:spacing w:lineRule="exact" w:line="540" w:before="0" w:after="0"/>
        <w:ind w:firstLineChars="200" w:firstLine="280"/>
        <w:jc w:val="both"/>
      </w:pPr>
      <w:r>
        <w:rPr>
          <w:rFonts w:ascii="宋体" w:hAnsi="宋体" w:eastAsia="宋体" w:cs="宋体" w:hint="eastAsia"/>
          <w:b w:val="0"/>
          <w:i w:val="0"/>
          <w:sz w:val="28"/>
        </w:rPr>
        <w:t>（12）《建筑防烟排烟系统技术标准》GB 51251-2017。</w:t>
      </w:r>
    </w:p>
    <w:p>
      <w:pPr>
        <w:spacing w:lineRule="exact" w:line="540" w:before="0" w:after="0"/>
        <w:ind w:firstLineChars="200" w:firstLine="280"/>
        <w:jc w:val="both"/>
      </w:pPr>
      <w:r>
        <w:rPr>
          <w:rFonts w:ascii="宋体" w:hAnsi="宋体" w:eastAsia="宋体" w:cs="宋体" w:hint="eastAsia"/>
          <w:b w:val="0"/>
          <w:i w:val="0"/>
          <w:sz w:val="28"/>
        </w:rPr>
        <w:t>（13）《自动喷水灭火系统设计规范》GB 50084-2017。</w:t>
      </w:r>
    </w:p>
    <w:p>
      <w:pPr>
        <w:spacing w:lineRule="exact" w:line="540" w:before="0" w:after="0"/>
        <w:ind w:firstLineChars="200" w:firstLine="280"/>
        <w:jc w:val="both"/>
      </w:pPr>
      <w:r>
        <w:rPr>
          <w:rFonts w:ascii="宋体" w:hAnsi="宋体" w:eastAsia="宋体" w:cs="宋体" w:hint="eastAsia"/>
          <w:b w:val="0"/>
          <w:i w:val="0"/>
          <w:sz w:val="28"/>
        </w:rPr>
        <w:t>（14）《火灾自动报警系统设计规范》GB 50116-2013。</w:t>
      </w:r>
    </w:p>
    <w:p>
      <w:pPr>
        <w:spacing w:lineRule="exact" w:line="540" w:before="0" w:after="0"/>
        <w:ind w:firstLineChars="200" w:firstLine="280"/>
        <w:jc w:val="both"/>
      </w:pPr>
      <w:r>
        <w:rPr>
          <w:rFonts w:ascii="宋体" w:hAnsi="宋体" w:eastAsia="宋体" w:cs="宋体" w:hint="eastAsia"/>
          <w:b w:val="0"/>
          <w:i w:val="0"/>
          <w:sz w:val="28"/>
        </w:rPr>
        <w:t>（15）《建筑灭火器配置设计规范》GB 50140-2005。</w:t>
      </w:r>
    </w:p>
    <w:p>
      <w:pPr>
        <w:spacing w:lineRule="exact" w:line="540" w:before="0" w:after="0"/>
        <w:ind w:firstLineChars="200" w:firstLine="280"/>
        <w:jc w:val="both"/>
      </w:pPr>
      <w:r>
        <w:rPr>
          <w:rFonts w:ascii="宋体" w:hAnsi="宋体" w:eastAsia="宋体" w:cs="宋体" w:hint="eastAsia"/>
          <w:b w:val="0"/>
          <w:i w:val="0"/>
          <w:sz w:val="28"/>
        </w:rPr>
        <w:t>（16）《消防给水及消火栓系统技术规范》GB 50974-2014。</w:t>
      </w:r>
    </w:p>
    <w:p>
      <w:pPr>
        <w:spacing w:lineRule="exact" w:line="540" w:before="0" w:after="0"/>
        <w:ind w:firstLineChars="200" w:firstLine="280"/>
        <w:jc w:val="both"/>
      </w:pPr>
      <w:r>
        <w:rPr>
          <w:rFonts w:ascii="宋体" w:hAnsi="宋体" w:eastAsia="宋体" w:cs="宋体" w:hint="eastAsia"/>
          <w:b w:val="0"/>
          <w:i w:val="0"/>
          <w:sz w:val="28"/>
        </w:rPr>
        <w:t>（17）《消防应急照明和疏散指示系统技术标准》GB 51309-2018。</w:t>
      </w:r>
    </w:p>
    <w:p>
      <w:pPr>
        <w:spacing w:lineRule="exact" w:line="540" w:before="0" w:after="0"/>
        <w:ind w:firstLineChars="200" w:firstLine="280"/>
        <w:jc w:val="both"/>
      </w:pPr>
      <w:r>
        <w:rPr>
          <w:rFonts w:ascii="宋体" w:hAnsi="宋体" w:eastAsia="宋体" w:cs="宋体" w:hint="eastAsia"/>
          <w:b w:val="0"/>
          <w:i w:val="0"/>
          <w:sz w:val="28"/>
        </w:rPr>
        <w:t>（18）《建筑内部装修设计防火规范》GB 50222-2017。</w:t>
      </w:r>
    </w:p>
    <w:p>
      <w:pPr>
        <w:spacing w:lineRule="exact" w:line="540" w:before="0" w:after="0"/>
        <w:ind w:firstLineChars="200" w:firstLine="280"/>
        <w:jc w:val="both"/>
      </w:pPr>
      <w:r>
        <w:rPr>
          <w:rFonts w:ascii="宋体" w:hAnsi="宋体" w:eastAsia="宋体" w:cs="宋体" w:hint="eastAsia"/>
          <w:b w:val="0"/>
          <w:i w:val="0"/>
          <w:sz w:val="28"/>
        </w:rPr>
        <w:t>（19）《建筑采光设计标准》GB 50033-2013。</w:t>
      </w:r>
    </w:p>
    <w:p>
      <w:pPr>
        <w:spacing w:lineRule="exact" w:line="540" w:before="0" w:after="0"/>
        <w:ind w:firstLineChars="200" w:firstLine="280"/>
        <w:jc w:val="both"/>
      </w:pPr>
      <w:r>
        <w:rPr>
          <w:rFonts w:ascii="宋体" w:hAnsi="宋体" w:eastAsia="宋体" w:cs="宋体" w:hint="eastAsia"/>
          <w:b w:val="0"/>
          <w:i w:val="0"/>
          <w:sz w:val="28"/>
        </w:rPr>
        <w:t>（20）《建筑抗震设计规范》GB 50011-2010（2016 年版）。</w:t>
      </w:r>
    </w:p>
    <w:p>
      <w:pPr>
        <w:spacing w:lineRule="exact" w:line="540" w:before="0" w:after="0"/>
        <w:ind w:firstLineChars="200" w:firstLine="280"/>
        <w:jc w:val="both"/>
      </w:pPr>
      <w:r>
        <w:rPr>
          <w:rFonts w:ascii="宋体" w:hAnsi="宋体" w:eastAsia="宋体" w:cs="宋体" w:hint="eastAsia"/>
          <w:b w:val="0"/>
          <w:i w:val="0"/>
          <w:sz w:val="28"/>
        </w:rPr>
        <w:t>（21）《建筑结构荷载规范》GB 50009-2012。</w:t>
      </w:r>
    </w:p>
    <w:p>
      <w:pPr>
        <w:spacing w:lineRule="exact" w:line="540" w:before="0" w:after="0"/>
        <w:ind w:firstLineChars="200" w:firstLine="280"/>
        <w:jc w:val="both"/>
      </w:pPr>
      <w:r>
        <w:rPr>
          <w:rFonts w:ascii="宋体" w:hAnsi="宋体" w:eastAsia="宋体" w:cs="宋体" w:hint="eastAsia"/>
          <w:b w:val="0"/>
          <w:i w:val="0"/>
          <w:sz w:val="28"/>
        </w:rPr>
        <w:t>（22）《混凝土结构设计规范》GB 50010-2010（2015 年版）。</w:t>
      </w:r>
    </w:p>
    <w:p>
      <w:pPr>
        <w:spacing w:lineRule="exact" w:line="540" w:before="0" w:after="0"/>
        <w:ind w:firstLineChars="200" w:firstLine="280"/>
        <w:jc w:val="both"/>
      </w:pPr>
      <w:r>
        <w:rPr>
          <w:rFonts w:ascii="宋体" w:hAnsi="宋体" w:eastAsia="宋体" w:cs="宋体" w:hint="eastAsia"/>
          <w:b w:val="0"/>
          <w:i w:val="0"/>
          <w:sz w:val="28"/>
        </w:rPr>
        <w:t>（23）《钢结构设计标准》GB 50017-2017。</w:t>
      </w:r>
    </w:p>
    <w:p>
      <w:pPr>
        <w:spacing w:lineRule="exact" w:line="540" w:before="0" w:after="0"/>
        <w:ind w:firstLineChars="200" w:firstLine="280"/>
        <w:jc w:val="both"/>
      </w:pPr>
      <w:r>
        <w:rPr>
          <w:rFonts w:ascii="宋体" w:hAnsi="宋体" w:eastAsia="宋体" w:cs="宋体" w:hint="eastAsia"/>
          <w:b w:val="0"/>
          <w:i w:val="0"/>
          <w:sz w:val="28"/>
        </w:rPr>
        <w:t>（24）《建筑地基基础设计规范》GB 50007-2011。</w:t>
      </w:r>
    </w:p>
    <w:p>
      <w:pPr>
        <w:spacing w:lineRule="exact" w:line="540" w:before="0" w:after="0"/>
        <w:ind w:firstLineChars="200" w:firstLine="280"/>
        <w:jc w:val="both"/>
      </w:pPr>
      <w:r>
        <w:rPr>
          <w:rFonts w:ascii="宋体" w:hAnsi="宋体" w:eastAsia="宋体" w:cs="宋体" w:hint="eastAsia"/>
          <w:b w:val="0"/>
          <w:i w:val="0"/>
          <w:sz w:val="28"/>
        </w:rPr>
        <w:t>（25）《工业企业厂内铁路、道路运输安全规程》GB 4387-2008。</w:t>
      </w:r>
    </w:p>
    <w:p>
      <w:pPr>
        <w:spacing w:lineRule="exact" w:line="540" w:before="0" w:after="0"/>
        <w:ind w:firstLineChars="200" w:firstLine="280"/>
        <w:jc w:val="both"/>
      </w:pPr>
      <w:r>
        <w:rPr>
          <w:rFonts w:ascii="宋体" w:hAnsi="宋体" w:eastAsia="宋体" w:cs="宋体" w:hint="eastAsia"/>
          <w:b w:val="0"/>
          <w:i w:val="0"/>
          <w:sz w:val="28"/>
        </w:rPr>
        <w:t>（26）《安全标志及其使用导则》GB 2894-2025。</w:t>
      </w:r>
    </w:p>
    <w:p>
      <w:pPr>
        <w:spacing w:lineRule="exact" w:line="540" w:before="0" w:after="0"/>
        <w:ind w:firstLineChars="200" w:firstLine="280"/>
        <w:jc w:val="both"/>
      </w:pPr>
      <w:r>
        <w:rPr>
          <w:rFonts w:ascii="宋体" w:hAnsi="宋体" w:eastAsia="宋体" w:cs="宋体" w:hint="eastAsia"/>
          <w:b w:val="0"/>
          <w:i w:val="0"/>
          <w:sz w:val="28"/>
        </w:rPr>
        <w:t>（27）《工业管道的基本识别色、识别符号和安全标识》GB 7231-2003。</w:t>
      </w:r>
    </w:p>
    <w:p>
      <w:pPr>
        <w:spacing w:lineRule="exact" w:line="540" w:before="0" w:after="0"/>
        <w:ind w:firstLineChars="200" w:firstLine="280"/>
        <w:jc w:val="both"/>
      </w:pPr>
      <w:r>
        <w:rPr>
          <w:rFonts w:ascii="宋体" w:hAnsi="宋体" w:eastAsia="宋体" w:cs="宋体" w:hint="eastAsia"/>
          <w:b w:val="0"/>
          <w:i w:val="0"/>
          <w:sz w:val="28"/>
        </w:rPr>
        <w:t>（28）《个体防护装备配备规范 第 1 部分：总则》GB 39800.1-2020。</w:t>
      </w:r>
    </w:p>
    <w:p>
      <w:pPr>
        <w:spacing w:lineRule="exact" w:line="540" w:before="0" w:after="0"/>
        <w:ind w:firstLineChars="200" w:firstLine="280"/>
        <w:jc w:val="both"/>
      </w:pPr>
      <w:r>
        <w:rPr>
          <w:rFonts w:ascii="宋体" w:hAnsi="宋体" w:eastAsia="宋体" w:cs="宋体" w:hint="eastAsia"/>
          <w:b w:val="0"/>
          <w:i w:val="0"/>
          <w:sz w:val="28"/>
        </w:rPr>
        <w:t>（29）《生产过程危险和有害因素分类与代码》GB/T 13861-2022。</w:t>
      </w:r>
    </w:p>
    <w:p>
      <w:pPr>
        <w:spacing w:lineRule="exact" w:line="540" w:before="0" w:after="0"/>
        <w:ind w:firstLineChars="200" w:firstLine="280"/>
        <w:jc w:val="both"/>
      </w:pPr>
      <w:r>
        <w:rPr>
          <w:rFonts w:ascii="宋体" w:hAnsi="宋体" w:eastAsia="宋体" w:cs="宋体" w:hint="eastAsia"/>
          <w:b w:val="0"/>
          <w:i w:val="0"/>
          <w:sz w:val="28"/>
        </w:rPr>
        <w:t>（30）《企业职工伤亡事故分类》GB 6441-2025。</w:t>
      </w:r>
    </w:p>
    <w:p>
      <w:pPr>
        <w:spacing w:lineRule="exact" w:line="540" w:before="0" w:after="0"/>
        <w:ind w:firstLineChars="200" w:firstLine="280"/>
        <w:jc w:val="both"/>
      </w:pPr>
      <w:r>
        <w:rPr>
          <w:rFonts w:ascii="宋体" w:hAnsi="宋体" w:eastAsia="宋体" w:cs="宋体" w:hint="eastAsia"/>
          <w:b w:val="0"/>
          <w:i w:val="0"/>
          <w:sz w:val="28"/>
        </w:rPr>
        <w:t>（31）《生产经营单位生产安全事故应急预案编制导则》GB/T 29639-2020。</w:t>
      </w:r>
    </w:p>
    <w:p>
      <w:pPr>
        <w:spacing w:lineRule="exact" w:line="540" w:before="0" w:after="0"/>
        <w:ind w:firstLineChars="200" w:firstLine="280"/>
        <w:jc w:val="both"/>
      </w:pPr>
      <w:r>
        <w:rPr>
          <w:rFonts w:ascii="宋体" w:hAnsi="宋体" w:eastAsia="宋体" w:cs="宋体" w:hint="eastAsia"/>
          <w:b w:val="0"/>
          <w:i w:val="0"/>
          <w:sz w:val="28"/>
        </w:rPr>
        <w:t>（32）《职业健康安全管理体系 要求及使用指南》GB/T 45001-2020。</w:t>
      </w:r>
    </w:p>
    <w:p>
      <w:pPr>
        <w:spacing w:lineRule="exact" w:line="540" w:before="0" w:after="0"/>
        <w:ind w:firstLineChars="200" w:firstLine="280"/>
        <w:jc w:val="both"/>
      </w:pPr>
      <w:r>
        <w:rPr>
          <w:rFonts w:ascii="宋体" w:hAnsi="宋体" w:eastAsia="宋体" w:cs="宋体" w:hint="eastAsia"/>
          <w:b w:val="0"/>
          <w:i w:val="0"/>
          <w:sz w:val="28"/>
        </w:rPr>
        <w:t>（33）《工业企业设计卫生标准》GBZ 1-2010。</w:t>
      </w:r>
    </w:p>
    <w:p>
      <w:pPr>
        <w:spacing w:lineRule="exact" w:line="540" w:before="0" w:after="0"/>
        <w:ind w:firstLineChars="200" w:firstLine="280"/>
        <w:jc w:val="both"/>
      </w:pPr>
      <w:r>
        <w:rPr>
          <w:rFonts w:ascii="宋体" w:hAnsi="宋体" w:eastAsia="宋体" w:cs="宋体" w:hint="eastAsia"/>
          <w:b w:val="0"/>
          <w:i w:val="0"/>
          <w:sz w:val="28"/>
        </w:rPr>
        <w:t>（34）《工作场所有害因素职业接触限值 第 1 部分：化学有害因素》GBZ 2.1-2019。</w:t>
      </w:r>
    </w:p>
    <w:p>
      <w:pPr>
        <w:spacing w:lineRule="exact" w:line="540" w:before="0" w:after="0"/>
        <w:ind w:firstLineChars="200" w:firstLine="280"/>
        <w:jc w:val="both"/>
      </w:pPr>
      <w:r>
        <w:rPr>
          <w:rFonts w:ascii="宋体" w:hAnsi="宋体" w:eastAsia="宋体" w:cs="宋体" w:hint="eastAsia"/>
          <w:b w:val="0"/>
          <w:i w:val="0"/>
          <w:sz w:val="28"/>
        </w:rPr>
        <w:t>（35）《工作场所有害因素职业接触限值 第 2 部分：物理因素》GBZ 2.2-2007。</w:t>
      </w:r>
    </w:p>
    <w:p>
      <w:pPr>
        <w:spacing w:lineRule="exact" w:line="540" w:before="0" w:after="0"/>
        <w:ind w:firstLineChars="200" w:firstLine="280"/>
        <w:jc w:val="both"/>
      </w:pPr>
      <w:r>
        <w:rPr>
          <w:rFonts w:ascii="宋体" w:hAnsi="宋体" w:eastAsia="宋体" w:cs="宋体" w:hint="eastAsia"/>
          <w:b w:val="0"/>
          <w:i w:val="0"/>
          <w:sz w:val="28"/>
        </w:rPr>
        <w:t>（36）《工作场所职业病危害警示标识》GBZ 158-2003。</w:t>
      </w:r>
    </w:p>
    <w:p>
      <w:pPr>
        <w:spacing w:lineRule="exact" w:line="540" w:before="0" w:after="0"/>
        <w:ind w:firstLineChars="200" w:firstLine="280"/>
        <w:jc w:val="both"/>
      </w:pPr>
      <w:r>
        <w:rPr>
          <w:rFonts w:ascii="宋体" w:hAnsi="宋体" w:eastAsia="宋体" w:cs="宋体" w:hint="eastAsia"/>
          <w:b w:val="0"/>
          <w:i w:val="0"/>
          <w:sz w:val="28"/>
        </w:rPr>
        <w:t>（37）《生产设备安全卫生设计总则》GB 5083-1999。</w:t>
      </w:r>
    </w:p>
    <w:p>
      <w:pPr>
        <w:spacing w:lineRule="exact" w:line="540" w:before="0" w:after="0"/>
        <w:ind w:firstLineChars="200" w:firstLine="280"/>
        <w:jc w:val="both"/>
      </w:pPr>
      <w:r>
        <w:rPr>
          <w:rFonts w:ascii="宋体" w:hAnsi="宋体" w:eastAsia="宋体" w:cs="宋体" w:hint="eastAsia"/>
          <w:b w:val="0"/>
          <w:i w:val="0"/>
          <w:sz w:val="28"/>
        </w:rPr>
        <w:t>（38）《生产过程安全卫生要求总则》GB/T 12801-2008。</w:t>
      </w:r>
    </w:p>
    <w:p>
      <w:pPr>
        <w:spacing w:lineRule="exact" w:line="540" w:before="0" w:after="0"/>
        <w:ind w:firstLineChars="200" w:firstLine="280"/>
        <w:jc w:val="both"/>
      </w:pPr>
      <w:r>
        <w:rPr>
          <w:rFonts w:ascii="宋体" w:hAnsi="宋体" w:eastAsia="宋体" w:cs="宋体" w:hint="eastAsia"/>
          <w:b w:val="0"/>
          <w:i w:val="0"/>
          <w:sz w:val="28"/>
        </w:rPr>
        <w:t>（39）《机械安全 防护装置 固定式和活动式防护装置设计与制造一般要求》GB/T 8196-2018。</w:t>
      </w:r>
    </w:p>
    <w:p>
      <w:pPr>
        <w:spacing w:lineRule="exact" w:line="540" w:before="0" w:after="0"/>
        <w:ind w:firstLineChars="200" w:firstLine="280"/>
        <w:jc w:val="both"/>
      </w:pPr>
      <w:r>
        <w:rPr>
          <w:rFonts w:ascii="宋体" w:hAnsi="宋体" w:eastAsia="宋体" w:cs="宋体" w:hint="eastAsia"/>
          <w:b w:val="0"/>
          <w:i w:val="0"/>
          <w:sz w:val="28"/>
        </w:rPr>
        <w:t>（40）《机械安全 急停功能 设计原则》GB/T 16754-2021。</w:t>
      </w:r>
    </w:p>
    <w:p>
      <w:pPr>
        <w:spacing w:lineRule="exact" w:line="540" w:before="0" w:after="0"/>
        <w:ind w:firstLineChars="200" w:firstLine="280"/>
        <w:jc w:val="both"/>
      </w:pPr>
      <w:r>
        <w:rPr>
          <w:rFonts w:ascii="宋体" w:hAnsi="宋体" w:eastAsia="宋体" w:cs="宋体" w:hint="eastAsia"/>
          <w:b w:val="0"/>
          <w:i w:val="0"/>
          <w:sz w:val="28"/>
        </w:rPr>
        <w:t>（41）《机械安全 风险评估 实施指南和方法举例》GB/T 16856-2015。</w:t>
      </w:r>
    </w:p>
    <w:p>
      <w:pPr>
        <w:spacing w:lineRule="exact" w:line="540" w:before="0" w:after="0"/>
        <w:ind w:firstLineChars="200" w:firstLine="280"/>
        <w:jc w:val="both"/>
      </w:pPr>
      <w:r>
        <w:rPr>
          <w:rFonts w:ascii="宋体" w:hAnsi="宋体" w:eastAsia="宋体" w:cs="宋体" w:hint="eastAsia"/>
          <w:b w:val="0"/>
          <w:i w:val="0"/>
          <w:sz w:val="28"/>
        </w:rPr>
        <w:t>（42）《用电安全导则》GB/T 13869-2017。</w:t>
      </w:r>
    </w:p>
    <w:p>
      <w:pPr>
        <w:spacing w:lineRule="exact" w:line="540" w:before="0" w:after="0"/>
        <w:ind w:firstLineChars="200" w:firstLine="280"/>
        <w:jc w:val="both"/>
      </w:pPr>
      <w:r>
        <w:rPr>
          <w:rFonts w:ascii="宋体" w:hAnsi="宋体" w:eastAsia="宋体" w:cs="宋体" w:hint="eastAsia"/>
          <w:b w:val="0"/>
          <w:i w:val="0"/>
          <w:sz w:val="28"/>
        </w:rPr>
        <w:t>（43）《电气设备安全设计导则》GB/T 25295-2010。</w:t>
      </w:r>
    </w:p>
    <w:p>
      <w:pPr>
        <w:spacing w:lineRule="exact" w:line="540" w:before="0" w:after="0"/>
        <w:ind w:firstLineChars="200" w:firstLine="280"/>
        <w:jc w:val="both"/>
      </w:pPr>
      <w:r>
        <w:rPr>
          <w:rFonts w:ascii="宋体" w:hAnsi="宋体" w:eastAsia="宋体" w:cs="宋体" w:hint="eastAsia"/>
          <w:b w:val="0"/>
          <w:i w:val="0"/>
          <w:sz w:val="28"/>
        </w:rPr>
        <w:t>（44）《系统接地的型式及安全技术要求》GB 14050-2008。</w:t>
      </w:r>
    </w:p>
    <w:p>
      <w:pPr>
        <w:spacing w:lineRule="exact" w:line="540" w:before="0" w:after="0"/>
        <w:ind w:firstLineChars="200" w:firstLine="280"/>
        <w:jc w:val="both"/>
      </w:pPr>
      <w:r>
        <w:rPr>
          <w:rFonts w:ascii="宋体" w:hAnsi="宋体" w:eastAsia="宋体" w:cs="宋体" w:hint="eastAsia"/>
          <w:b w:val="0"/>
          <w:i w:val="0"/>
          <w:sz w:val="28"/>
        </w:rPr>
        <w:t>（45）《交流电气装置的接地设计规范》GB/T 50065-2011。</w:t>
      </w:r>
    </w:p>
    <w:p>
      <w:pPr>
        <w:spacing w:lineRule="exact" w:line="540" w:before="0" w:after="0"/>
        <w:ind w:firstLineChars="200" w:firstLine="280"/>
        <w:jc w:val="both"/>
      </w:pPr>
      <w:r>
        <w:rPr>
          <w:rFonts w:ascii="宋体" w:hAnsi="宋体" w:eastAsia="宋体" w:cs="宋体" w:hint="eastAsia"/>
          <w:b w:val="0"/>
          <w:i w:val="0"/>
          <w:sz w:val="28"/>
        </w:rPr>
        <w:t>（46）《建筑物电子信息系统防雷技术规范》GB 50343-2012。</w:t>
      </w:r>
    </w:p>
    <w:p>
      <w:pPr>
        <w:spacing w:lineRule="exact" w:line="540" w:before="0" w:after="0"/>
        <w:ind w:firstLineChars="200" w:firstLine="280"/>
        <w:jc w:val="both"/>
      </w:pPr>
      <w:r>
        <w:rPr>
          <w:rFonts w:ascii="宋体" w:hAnsi="宋体" w:eastAsia="宋体" w:cs="宋体" w:hint="eastAsia"/>
          <w:b w:val="0"/>
          <w:i w:val="0"/>
          <w:sz w:val="28"/>
        </w:rPr>
        <w:t>（47）《建筑物防雷装置检测技术规范》GB/T 21431-2015。</w:t>
      </w:r>
    </w:p>
    <w:p>
      <w:pPr>
        <w:spacing w:lineRule="exact" w:line="540" w:before="0" w:after="0"/>
        <w:ind w:firstLineChars="200" w:firstLine="280"/>
        <w:jc w:val="both"/>
      </w:pPr>
      <w:r>
        <w:rPr>
          <w:rFonts w:ascii="宋体" w:hAnsi="宋体" w:eastAsia="宋体" w:cs="宋体" w:hint="eastAsia"/>
          <w:b w:val="0"/>
          <w:i w:val="0"/>
          <w:sz w:val="28"/>
        </w:rPr>
        <w:t>（48）《危险场所电气防爆安全规范》AQ 3009-2007。</w:t>
      </w:r>
    </w:p>
    <w:p>
      <w:pPr>
        <w:spacing w:lineRule="exact" w:line="540" w:before="0" w:after="0"/>
        <w:ind w:firstLineChars="200" w:firstLine="280"/>
        <w:jc w:val="both"/>
      </w:pPr>
      <w:r>
        <w:rPr>
          <w:rFonts w:ascii="宋体" w:hAnsi="宋体" w:eastAsia="宋体" w:cs="宋体" w:hint="eastAsia"/>
          <w:b w:val="0"/>
          <w:i w:val="0"/>
          <w:sz w:val="28"/>
        </w:rPr>
        <w:t>（49）《粉尘防爆安全规程》GB 15577-2018。</w:t>
      </w:r>
    </w:p>
    <w:p>
      <w:pPr>
        <w:spacing w:lineRule="exact" w:line="540" w:before="0" w:after="0"/>
        <w:ind w:firstLineChars="200" w:firstLine="280"/>
        <w:jc w:val="both"/>
      </w:pPr>
      <w:r>
        <w:rPr>
          <w:rFonts w:ascii="宋体" w:hAnsi="宋体" w:eastAsia="宋体" w:cs="宋体" w:hint="eastAsia"/>
          <w:b w:val="0"/>
          <w:i w:val="0"/>
          <w:sz w:val="28"/>
        </w:rPr>
        <w:t>（50）《可燃性粉尘环境用电气设备 第 1 部分：通用要求》GB 12476.1-2013。</w:t>
      </w:r>
    </w:p>
    <w:p>
      <w:pPr>
        <w:spacing w:lineRule="exact" w:line="540" w:before="0" w:after="0"/>
        <w:ind w:firstLineChars="200" w:firstLine="280"/>
        <w:jc w:val="both"/>
      </w:pPr>
      <w:r>
        <w:rPr>
          <w:rFonts w:ascii="宋体" w:hAnsi="宋体" w:eastAsia="宋体" w:cs="宋体" w:hint="eastAsia"/>
          <w:b w:val="0"/>
          <w:i w:val="0"/>
          <w:sz w:val="28"/>
        </w:rPr>
        <w:t>（51）《可燃气体探测器 第 1 部分：工业及商业用途点型可燃气体探测器》GB 15322.1-2019。</w:t>
      </w:r>
    </w:p>
    <w:p>
      <w:pPr>
        <w:spacing w:lineRule="exact" w:line="540" w:before="0" w:after="0"/>
        <w:ind w:firstLineChars="200" w:firstLine="280"/>
        <w:jc w:val="both"/>
      </w:pPr>
      <w:r>
        <w:rPr>
          <w:rFonts w:ascii="宋体" w:hAnsi="宋体" w:eastAsia="宋体" w:cs="宋体" w:hint="eastAsia"/>
          <w:b w:val="0"/>
          <w:i w:val="0"/>
          <w:sz w:val="28"/>
        </w:rPr>
        <w:t>（52）《消防安全标志 第 1 部分：标志》GB 13495.1-2015。</w:t>
      </w:r>
    </w:p>
    <w:p>
      <w:pPr>
        <w:spacing w:lineRule="exact" w:line="540" w:before="0" w:after="0"/>
        <w:ind w:firstLineChars="200" w:firstLine="280"/>
        <w:jc w:val="both"/>
      </w:pPr>
      <w:r>
        <w:rPr>
          <w:rFonts w:ascii="宋体" w:hAnsi="宋体" w:eastAsia="宋体" w:cs="宋体" w:hint="eastAsia"/>
          <w:b w:val="0"/>
          <w:i w:val="0"/>
          <w:sz w:val="28"/>
        </w:rPr>
        <w:t>（53）《安全色》GB 2893-2008。</w:t>
      </w:r>
    </w:p>
    <w:p>
      <w:pPr>
        <w:spacing w:lineRule="exact" w:line="540" w:before="0" w:after="0"/>
        <w:ind w:firstLineChars="200" w:firstLine="280"/>
        <w:jc w:val="both"/>
      </w:pPr>
      <w:r>
        <w:rPr>
          <w:rFonts w:ascii="宋体" w:hAnsi="宋体" w:eastAsia="宋体" w:cs="宋体" w:hint="eastAsia"/>
          <w:b w:val="0"/>
          <w:i w:val="0"/>
          <w:sz w:val="28"/>
        </w:rPr>
        <w:t>（54）《消防控制室通用技术要求》GB 25506-2010。</w:t>
      </w:r>
    </w:p>
    <w:p>
      <w:pPr>
        <w:spacing w:lineRule="exact" w:line="540" w:before="0" w:after="0"/>
        <w:ind w:firstLineChars="200" w:firstLine="280"/>
        <w:jc w:val="both"/>
      </w:pPr>
      <w:r>
        <w:rPr>
          <w:rFonts w:ascii="宋体" w:hAnsi="宋体" w:eastAsia="宋体" w:cs="宋体" w:hint="eastAsia"/>
          <w:b w:val="0"/>
          <w:i w:val="0"/>
          <w:sz w:val="28"/>
        </w:rPr>
        <w:t>（55）《建筑消防设施的维护管理》GB 25201-2010。</w:t>
      </w:r>
    </w:p>
    <w:p>
      <w:pPr>
        <w:spacing w:lineRule="exact" w:line="540" w:before="0" w:after="0"/>
        <w:ind w:firstLineChars="200" w:firstLine="280"/>
        <w:jc w:val="both"/>
      </w:pPr>
      <w:r>
        <w:rPr>
          <w:rFonts w:ascii="宋体" w:hAnsi="宋体" w:eastAsia="宋体" w:cs="宋体" w:hint="eastAsia"/>
          <w:b w:val="0"/>
          <w:i w:val="0"/>
          <w:sz w:val="28"/>
        </w:rPr>
        <w:t>（56）《建筑灭火器配置验收及检查规范》GB 50444-2008。</w:t>
      </w:r>
    </w:p>
    <w:p>
      <w:pPr>
        <w:spacing w:lineRule="exact" w:line="540" w:before="0" w:after="0"/>
        <w:ind w:firstLineChars="200" w:firstLine="280"/>
        <w:jc w:val="both"/>
      </w:pPr>
      <w:r>
        <w:rPr>
          <w:rFonts w:ascii="宋体" w:hAnsi="宋体" w:eastAsia="宋体" w:cs="宋体" w:hint="eastAsia"/>
          <w:b w:val="0"/>
          <w:i w:val="0"/>
          <w:sz w:val="28"/>
        </w:rPr>
        <w:t>（57）《固定式钢梯及平台安全要求 第 1 部分：钢直梯》GB 4053.1-2009。</w:t>
      </w:r>
    </w:p>
    <w:p>
      <w:pPr>
        <w:spacing w:lineRule="exact" w:line="540" w:before="0" w:after="0"/>
        <w:ind w:firstLineChars="200" w:firstLine="280"/>
        <w:jc w:val="both"/>
      </w:pPr>
      <w:r>
        <w:rPr>
          <w:rFonts w:ascii="宋体" w:hAnsi="宋体" w:eastAsia="宋体" w:cs="宋体" w:hint="eastAsia"/>
          <w:b w:val="0"/>
          <w:i w:val="0"/>
          <w:sz w:val="28"/>
        </w:rPr>
        <w:t>（58）《固定式钢梯及平台安全要求 第 2 部分：钢斜梯》GB 4053.2-2009。</w:t>
      </w:r>
    </w:p>
    <w:p>
      <w:pPr>
        <w:spacing w:lineRule="exact" w:line="540" w:before="0" w:after="0"/>
        <w:ind w:firstLineChars="200" w:firstLine="280"/>
        <w:jc w:val="both"/>
      </w:pPr>
      <w:r>
        <w:rPr>
          <w:rFonts w:ascii="宋体" w:hAnsi="宋体" w:eastAsia="宋体" w:cs="宋体" w:hint="eastAsia"/>
          <w:b w:val="0"/>
          <w:i w:val="0"/>
          <w:sz w:val="28"/>
        </w:rPr>
        <w:t>（59）《固定式钢梯及平台安全要求 第 3 部分：工业防护栏杆及钢平台》GB 4053.3-2009。</w:t>
      </w:r>
    </w:p>
    <w:p>
      <w:pPr>
        <w:spacing w:lineRule="exact" w:line="540" w:before="0" w:after="0"/>
        <w:ind w:firstLineChars="200" w:firstLine="280"/>
        <w:jc w:val="both"/>
      </w:pPr>
      <w:r>
        <w:rPr>
          <w:rFonts w:ascii="宋体" w:hAnsi="宋体" w:eastAsia="宋体" w:cs="宋体" w:hint="eastAsia"/>
          <w:b w:val="0"/>
          <w:i w:val="0"/>
          <w:sz w:val="28"/>
        </w:rPr>
        <w:t>（60）《焊接与切割安全》GB 9448-1999。</w:t>
      </w:r>
    </w:p>
    <w:p>
      <w:pPr>
        <w:spacing w:lineRule="exact" w:line="540" w:before="0" w:after="0"/>
        <w:ind w:firstLineChars="200" w:firstLine="280"/>
        <w:jc w:val="both"/>
      </w:pPr>
      <w:r>
        <w:rPr>
          <w:rFonts w:ascii="宋体" w:hAnsi="宋体" w:eastAsia="宋体" w:cs="宋体" w:hint="eastAsia"/>
          <w:b w:val="0"/>
          <w:i w:val="0"/>
          <w:sz w:val="28"/>
        </w:rPr>
        <w:t>（61）《涂装作业安全规程 喷漆室安全技术规定》GB 14444-2006。</w:t>
      </w:r>
    </w:p>
    <w:p>
      <w:pPr>
        <w:spacing w:lineRule="exact" w:line="540" w:before="0" w:after="0"/>
        <w:ind w:firstLineChars="200" w:firstLine="280"/>
        <w:jc w:val="both"/>
      </w:pPr>
      <w:r>
        <w:rPr>
          <w:rFonts w:ascii="宋体" w:hAnsi="宋体" w:eastAsia="宋体" w:cs="宋体" w:hint="eastAsia"/>
          <w:b w:val="0"/>
          <w:i w:val="0"/>
          <w:sz w:val="28"/>
        </w:rPr>
        <w:t>（62）《涂装作业安全规程 涂层烘干室安全技术规定》GB 14443-2007。</w:t>
      </w:r>
    </w:p>
    <w:p>
      <w:pPr>
        <w:spacing w:lineRule="exact" w:line="540" w:before="0" w:after="0"/>
        <w:ind w:firstLineChars="200" w:firstLine="280"/>
        <w:jc w:val="both"/>
      </w:pPr>
      <w:r>
        <w:rPr>
          <w:rFonts w:ascii="宋体" w:hAnsi="宋体" w:eastAsia="宋体" w:cs="宋体" w:hint="eastAsia"/>
          <w:b w:val="0"/>
          <w:i w:val="0"/>
          <w:sz w:val="28"/>
        </w:rPr>
        <w:t>（63）《工业企业噪声控制设计规范》GB/T 50087-2013。</w:t>
      </w:r>
    </w:p>
    <w:p>
      <w:pPr>
        <w:spacing w:lineRule="exact" w:line="540" w:before="0" w:after="0"/>
        <w:ind w:firstLineChars="200" w:firstLine="280"/>
        <w:jc w:val="both"/>
      </w:pPr>
      <w:r>
        <w:rPr>
          <w:rFonts w:ascii="宋体" w:hAnsi="宋体" w:eastAsia="宋体" w:cs="宋体" w:hint="eastAsia"/>
          <w:b w:val="0"/>
          <w:i w:val="0"/>
          <w:sz w:val="28"/>
        </w:rPr>
        <w:t>（64）《职业性接触毒物危害程度分级》GBZ 230-2010。</w:t>
      </w:r>
    </w:p>
    <w:p>
      <w:pPr>
        <w:spacing w:lineRule="exact" w:line="540" w:before="0" w:after="0"/>
        <w:ind w:firstLineChars="200" w:firstLine="280"/>
        <w:jc w:val="both"/>
      </w:pPr>
      <w:r>
        <w:rPr>
          <w:rFonts w:ascii="宋体" w:hAnsi="宋体" w:eastAsia="宋体" w:cs="宋体" w:hint="eastAsia"/>
          <w:b w:val="0"/>
          <w:i w:val="0"/>
          <w:sz w:val="28"/>
        </w:rPr>
        <w:t>（65）《建筑给水排水设计标准》GB 50015-2019。</w:t>
      </w:r>
    </w:p>
    <w:p>
      <w:pPr>
        <w:spacing w:lineRule="exact" w:line="540" w:before="0" w:after="0"/>
        <w:ind w:firstLineChars="200" w:firstLine="280"/>
        <w:jc w:val="both"/>
      </w:pPr>
      <w:r>
        <w:rPr>
          <w:rFonts w:ascii="宋体" w:hAnsi="宋体" w:eastAsia="宋体" w:cs="宋体" w:hint="eastAsia"/>
          <w:b w:val="0"/>
          <w:i w:val="0"/>
          <w:sz w:val="28"/>
        </w:rPr>
        <w:t>（66）《室外给水设计标准》GB 50013-2018。</w:t>
      </w:r>
    </w:p>
    <w:p>
      <w:pPr>
        <w:spacing w:lineRule="exact" w:line="540" w:before="0" w:after="0"/>
        <w:ind w:firstLineChars="200" w:firstLine="280"/>
        <w:jc w:val="both"/>
      </w:pPr>
      <w:r>
        <w:rPr>
          <w:rFonts w:ascii="宋体" w:hAnsi="宋体" w:eastAsia="宋体" w:cs="宋体" w:hint="eastAsia"/>
          <w:b w:val="0"/>
          <w:i w:val="0"/>
          <w:sz w:val="28"/>
        </w:rPr>
        <w:t>（67）《室外排水设计标准》GB 50014-2021。</w:t>
      </w:r>
    </w:p>
    <w:p>
      <w:pPr>
        <w:spacing w:lineRule="exact" w:line="540" w:before="0" w:after="0"/>
        <w:ind w:firstLineChars="200" w:firstLine="280"/>
        <w:jc w:val="both"/>
      </w:pPr>
      <w:r>
        <w:rPr>
          <w:rFonts w:ascii="宋体" w:hAnsi="宋体" w:eastAsia="宋体" w:cs="宋体" w:hint="eastAsia"/>
          <w:b w:val="0"/>
          <w:i w:val="0"/>
          <w:sz w:val="28"/>
        </w:rPr>
        <w:t>（68）《一般工业固体废物贮存和填埋污染控制标准》GB 18599-2020。</w:t>
      </w:r>
    </w:p>
    <w:p>
      <w:pPr>
        <w:spacing w:lineRule="exact" w:line="540" w:before="0" w:after="0"/>
        <w:ind w:firstLineChars="200" w:firstLine="280"/>
        <w:jc w:val="both"/>
      </w:pPr>
      <w:r>
        <w:rPr>
          <w:rFonts w:ascii="宋体" w:hAnsi="宋体" w:eastAsia="宋体" w:cs="宋体" w:hint="eastAsia"/>
          <w:b w:val="0"/>
          <w:i w:val="0"/>
          <w:sz w:val="28"/>
        </w:rPr>
        <w:t>（69）《企业安全生产标准化基本规范》GB/T 33000-2016。</w:t>
      </w:r>
    </w:p>
    <w:p>
      <w:pPr>
        <w:spacing w:lineRule="exact" w:line="540" w:before="0" w:after="0"/>
        <w:ind w:firstLineChars="200" w:firstLine="280"/>
        <w:jc w:val="both"/>
      </w:pPr>
      <w:r>
        <w:rPr>
          <w:rFonts w:ascii="宋体" w:hAnsi="宋体" w:eastAsia="宋体" w:cs="宋体" w:hint="eastAsia"/>
          <w:b w:val="0"/>
          <w:i w:val="0"/>
          <w:sz w:val="28"/>
        </w:rPr>
        <w:t>（70）《生产安全事故应急演练基本规范》AQ/T 9007-2019。</w:t>
      </w:r>
    </w:p>
    <w:p>
      <w:pPr>
        <w:spacing w:lineRule="exact" w:line="540" w:before="0" w:after="0"/>
        <w:ind w:firstLineChars="200" w:firstLine="280"/>
        <w:jc w:val="both"/>
      </w:pPr>
      <w:r>
        <w:rPr>
          <w:rFonts w:ascii="宋体" w:hAnsi="宋体" w:eastAsia="宋体" w:cs="宋体" w:hint="eastAsia"/>
          <w:b w:val="0"/>
          <w:i w:val="0"/>
          <w:sz w:val="28"/>
        </w:rPr>
        <w:t>（71）《生产经营单位生产安全事故应急预案评估指南》AQ/T 9011-2019。</w:t>
      </w:r>
    </w:p>
    <w:p>
      <w:pPr>
        <w:spacing w:lineRule="exact" w:line="540" w:before="0" w:after="0"/>
        <w:ind w:firstLineChars="200" w:firstLine="280"/>
        <w:jc w:val="both"/>
      </w:pPr>
      <w:r>
        <w:rPr>
          <w:rFonts w:ascii="宋体" w:hAnsi="宋体" w:eastAsia="宋体" w:cs="宋体" w:hint="eastAsia"/>
          <w:b w:val="0"/>
          <w:i w:val="0"/>
          <w:sz w:val="28"/>
        </w:rPr>
        <w:t>上述法律、行政法规、部门规章及标准规范，如在本专篇实施前发布新版本或被修订，应按最新有效版本执行；国家标准与行业标准不一致时，执行较严者；强制性规范与推荐性标准不一致时，执行强制性规范。</w:t>
      </w:r>
    </w:p>
    <w:p>
      <w:pPr>
        <w:spacing w:lineRule="exact" w:line="540" w:before="0" w:after="0"/>
        <w:ind w:firstLineChars="200" w:firstLine="280"/>
        <w:jc w:val="both"/>
      </w:pPr>
      <w:r>
        <w:rPr>
          <w:rFonts w:ascii="宋体" w:hAnsi="宋体" w:eastAsia="宋体" w:cs="宋体" w:hint="eastAsia"/>
          <w:b w:val="0"/>
          <w:i w:val="0"/>
          <w:sz w:val="28"/>
        </w:rPr>
        <w:t>本专篇引用标准时只写标准名称与编号，不引用具体条号；施工图设计阶段由设计单位按现行标准逐条核对，并在设计说明中列明执行情况。</w:t>
      </w:r>
    </w:p>
    <w:p>
      <w:pPr>
        <w:pStyle w:val="Heading2"/>
        <w:keepNext/>
        <w:spacing w:lineRule="exact" w:line="540" w:before="120" w:after="120"/>
        <w:ind w:firstLine="0"/>
        <w:jc w:val="both"/>
      </w:pPr>
      <w:r>
        <w:rPr>
          <w:rFonts w:ascii="楷体" w:hAnsi="楷体" w:eastAsia="楷体" w:cs="楷体" w:hint="eastAsia"/>
          <w:b w:val="0"/>
          <w:i w:val="0"/>
          <w:sz w:val="32"/>
          <w:color w:val="000000"/>
        </w:rPr>
        <w:t>1.3建设项目安全预评价报告</w:t>
      </w:r>
    </w:p>
    <w:p>
      <w:pPr>
        <w:spacing w:lineRule="exact" w:line="540" w:before="0" w:after="0"/>
        <w:ind w:firstLineChars="200" w:firstLine="280"/>
        <w:jc w:val="both"/>
      </w:pPr>
      <w:r>
        <w:rPr>
          <w:rFonts w:ascii="宋体" w:hAnsi="宋体" w:eastAsia="宋体" w:cs="宋体" w:hint="eastAsia"/>
          <w:b w:val="0"/>
          <w:i w:val="0"/>
          <w:sz w:val="28"/>
        </w:rPr>
        <w:t>本项目已由建设单位委托具备相应资质的安全评价机构开展安全预评价，安全预评价报告是本专篇的重要设计依据。</w:t>
      </w:r>
    </w:p>
    <w:p>
      <w:pPr>
        <w:spacing w:lineRule="exact" w:line="540" w:before="0" w:after="0"/>
        <w:ind w:firstLineChars="200" w:firstLine="280"/>
        <w:jc w:val="both"/>
      </w:pPr>
      <w:r>
        <w:rPr>
          <w:rFonts w:ascii="宋体" w:hAnsi="宋体" w:eastAsia="宋体" w:cs="宋体" w:hint="eastAsia"/>
          <w:b w:val="0"/>
          <w:i w:val="0"/>
          <w:sz w:val="28"/>
        </w:rPr>
        <w:t>安全预评价报告共提出安全对策措施 4 条，主要涉及总平面布置、生产工艺与设备、公用工程、消防、电气、职业危害防护及安全管理等方面。本专篇按“先评价、后设计”的程序，对上述对策措施逐条对照落实，采纳情况见第 11 章及表 11-3-1。</w:t>
      </w:r>
    </w:p>
    <w:p>
      <w:pPr>
        <w:spacing w:lineRule="exact" w:line="540" w:before="0" w:after="0"/>
        <w:ind w:firstLineChars="200" w:firstLine="280"/>
        <w:jc w:val="both"/>
      </w:pPr>
      <w:r>
        <w:rPr>
          <w:rFonts w:ascii="宋体" w:hAnsi="宋体" w:eastAsia="宋体" w:cs="宋体" w:hint="eastAsia"/>
          <w:b w:val="0"/>
          <w:i w:val="0"/>
          <w:sz w:val="28"/>
        </w:rPr>
        <w:t>安全预评价报告提出的主要危险有害因素、重大危险源辨识结论与事故类型，已纳入本专篇第 3 章、第 5 章的分析范围；本专篇的分析结论与预评价报告不一致时，应说明理由并以现场核实结果为准。</w:t>
      </w:r>
    </w:p>
    <w:p>
      <w:pPr>
        <w:spacing w:lineRule="exact" w:line="540" w:before="0" w:after="0"/>
        <w:ind w:firstLineChars="200" w:firstLine="280"/>
        <w:jc w:val="both"/>
      </w:pPr>
      <w:r>
        <w:rPr>
          <w:rFonts w:ascii="宋体" w:hAnsi="宋体" w:eastAsia="宋体" w:cs="宋体" w:hint="eastAsia"/>
          <w:b w:val="0"/>
          <w:i w:val="0"/>
          <w:sz w:val="28"/>
        </w:rPr>
        <w:t>安全预评价报告及其审查（备案）意见应作为本专篇附件提交；预评价报告超过有效期或项目发生重大变更的，应重新开展安全预评价。</w:t>
      </w:r>
    </w:p>
    <w:p>
      <w:pPr>
        <w:pStyle w:val="Heading2"/>
        <w:keepNext/>
        <w:spacing w:lineRule="exact" w:line="540" w:before="120" w:after="120"/>
        <w:ind w:firstLine="0"/>
        <w:jc w:val="both"/>
      </w:pPr>
      <w:r>
        <w:rPr>
          <w:rFonts w:ascii="楷体" w:hAnsi="楷体" w:eastAsia="楷体" w:cs="楷体" w:hint="eastAsia"/>
          <w:b w:val="0"/>
          <w:i w:val="0"/>
          <w:sz w:val="32"/>
          <w:color w:val="000000"/>
        </w:rPr>
        <w:t>1.4其他设计依据及有关说明文件</w:t>
      </w:r>
    </w:p>
    <w:p>
      <w:pPr>
        <w:spacing w:lineRule="exact" w:line="540" w:before="0" w:after="0"/>
        <w:ind w:firstLineChars="200" w:firstLine="280"/>
        <w:jc w:val="both"/>
      </w:pPr>
      <w:r>
        <w:rPr>
          <w:rFonts w:ascii="宋体" w:hAnsi="宋体" w:eastAsia="宋体" w:cs="宋体" w:hint="eastAsia"/>
          <w:b w:val="0"/>
          <w:i w:val="0"/>
          <w:sz w:val="28"/>
        </w:rPr>
        <w:t>本专篇依据下列建设项目文件及技术资料编制：</w:t>
      </w:r>
    </w:p>
    <w:p>
      <w:pPr>
        <w:spacing w:lineRule="exact" w:line="540" w:before="0" w:after="0"/>
        <w:ind w:firstLineChars="200" w:firstLine="280"/>
        <w:jc w:val="both"/>
      </w:pPr>
      <w:r>
        <w:rPr>
          <w:rFonts w:ascii="宋体" w:hAnsi="宋体" w:eastAsia="宋体" w:cs="宋体" w:hint="eastAsia"/>
          <w:b w:val="0"/>
          <w:i w:val="0"/>
          <w:sz w:val="28"/>
        </w:rPr>
        <w:t>（1）项目备案（核准）文件、建设用地规划许可证、建设工程规划许可证。</w:t>
      </w:r>
    </w:p>
    <w:p>
      <w:pPr>
        <w:spacing w:lineRule="exact" w:line="540" w:before="0" w:after="0"/>
        <w:ind w:firstLineChars="200" w:firstLine="280"/>
        <w:jc w:val="both"/>
      </w:pPr>
      <w:r>
        <w:rPr>
          <w:rFonts w:ascii="宋体" w:hAnsi="宋体" w:eastAsia="宋体" w:cs="宋体" w:hint="eastAsia"/>
          <w:b w:val="0"/>
          <w:i w:val="0"/>
          <w:sz w:val="28"/>
        </w:rPr>
        <w:t>（2）项目可行性研究报告或初步设计文件。</w:t>
      </w:r>
    </w:p>
    <w:p>
      <w:pPr>
        <w:spacing w:lineRule="exact" w:line="540" w:before="0" w:after="0"/>
        <w:ind w:firstLineChars="200" w:firstLine="280"/>
        <w:jc w:val="both"/>
      </w:pPr>
      <w:r>
        <w:rPr>
          <w:rFonts w:ascii="宋体" w:hAnsi="宋体" w:eastAsia="宋体" w:cs="宋体" w:hint="eastAsia"/>
          <w:b w:val="0"/>
          <w:i w:val="0"/>
          <w:sz w:val="28"/>
        </w:rPr>
        <w:t>（3）安全预评价报告及其审查（备案）意见。</w:t>
      </w:r>
    </w:p>
    <w:p>
      <w:pPr>
        <w:spacing w:lineRule="exact" w:line="540" w:before="0" w:after="0"/>
        <w:ind w:firstLineChars="200" w:firstLine="280"/>
        <w:jc w:val="both"/>
      </w:pPr>
      <w:r>
        <w:rPr>
          <w:rFonts w:ascii="宋体" w:hAnsi="宋体" w:eastAsia="宋体" w:cs="宋体" w:hint="eastAsia"/>
          <w:b w:val="0"/>
          <w:i w:val="0"/>
          <w:sz w:val="28"/>
        </w:rPr>
        <w:t>（4）建设单位提供的总平面布置图、建构筑物表、设备清单、原辅材料清单。</w:t>
      </w:r>
    </w:p>
    <w:p>
      <w:pPr>
        <w:spacing w:lineRule="exact" w:line="540" w:before="0" w:after="0"/>
        <w:ind w:firstLineChars="200" w:firstLine="280"/>
        <w:jc w:val="both"/>
      </w:pPr>
      <w:r>
        <w:rPr>
          <w:rFonts w:ascii="宋体" w:hAnsi="宋体" w:eastAsia="宋体" w:cs="宋体" w:hint="eastAsia"/>
          <w:b w:val="0"/>
          <w:i w:val="0"/>
          <w:sz w:val="28"/>
        </w:rPr>
        <w:t>（5）建设单位提供的组织机构、劳动定员及安全管理人员任命文件。</w:t>
      </w:r>
    </w:p>
    <w:p>
      <w:pPr>
        <w:spacing w:lineRule="exact" w:line="540" w:before="0" w:after="0"/>
        <w:ind w:firstLineChars="200" w:firstLine="280"/>
        <w:jc w:val="both"/>
      </w:pPr>
      <w:r>
        <w:rPr>
          <w:rFonts w:ascii="宋体" w:hAnsi="宋体" w:eastAsia="宋体" w:cs="宋体" w:hint="eastAsia"/>
          <w:b w:val="0"/>
          <w:i w:val="0"/>
          <w:sz w:val="28"/>
        </w:rPr>
        <w:t>（6）建设单位和设计单位签订的设计合同及设计任务书。</w:t>
      </w:r>
    </w:p>
    <w:p>
      <w:pPr>
        <w:spacing w:lineRule="exact" w:line="540" w:before="0" w:after="0"/>
        <w:ind w:firstLineChars="200" w:firstLine="280"/>
        <w:jc w:val="both"/>
      </w:pPr>
      <w:r>
        <w:rPr>
          <w:rFonts w:ascii="宋体" w:hAnsi="宋体" w:eastAsia="宋体" w:cs="宋体" w:hint="eastAsia"/>
          <w:b w:val="0"/>
          <w:i w:val="0"/>
          <w:sz w:val="28"/>
        </w:rPr>
        <w:t>上述文件中，总平面布置图、建构筑物表、设备清单、原辅材料清单是第 2 章、第 3 章逐项分析的基础资料；组织机构、劳动定员及安全管理人员任命文件是第 7 章人员配备计算的依据；设计合同及设计任务书用于界定设计范围与分工。资料未提供的，本专篇以红色占位标注，不作推定。</w:t>
      </w:r>
    </w:p>
    <w:p>
      <w:pPr>
        <w:spacing w:lineRule="exact" w:line="540" w:before="0" w:after="0"/>
        <w:ind w:firstLineChars="200" w:firstLine="280"/>
        <w:jc w:val="both"/>
      </w:pPr>
      <w:r>
        <w:rPr>
          <w:rFonts w:ascii="宋体" w:hAnsi="宋体" w:eastAsia="宋体" w:cs="宋体" w:hint="eastAsia"/>
          <w:b w:val="0"/>
          <w:i w:val="0"/>
          <w:sz w:val="28"/>
        </w:rPr>
        <w:t>设计原则：安全设施与主体工程同时设计、同时施工、同时投入生产和使用；优先采用消除、预防、减弱、隔离、联锁等本质安全措施；当直接安全技术措施不能消除危险时，采用间接安全技术措施、指示性安全技术措施，并为从业人员配备与岗位危害相适应的个体防护用品。</w:t>
      </w:r>
    </w:p>
    <w:p>
      <w:pPr>
        <w:spacing w:lineRule="exact" w:line="540" w:before="0" w:after="0"/>
        <w:ind w:firstLineChars="200" w:firstLine="280"/>
        <w:jc w:val="both"/>
      </w:pPr>
      <w:r>
        <w:rPr>
          <w:rFonts w:ascii="宋体" w:hAnsi="宋体" w:eastAsia="宋体" w:cs="宋体" w:hint="eastAsia"/>
          <w:b w:val="0"/>
          <w:i w:val="0"/>
          <w:sz w:val="28"/>
        </w:rPr>
        <w:t>设计范围：年产1000台工程机械配件项目的厂区总平面布置、主要生产装置、公用工程及辅助设施、消防与电气安全设施、职业危害防护设施、安全管理与应急救援配套内容。设计内容不包括厂外运输、产品使用阶段的安全问题，以及设计单位资质、图签、注册人员签字与出图章；上述内容由具备相应资质的设计单位在送审前完成。</w:t>
      </w:r>
    </w:p>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2建设项目概述</w:t>
      </w:r>
    </w:p>
    <w:p>
      <w:pPr>
        <w:pStyle w:val="Heading2"/>
        <w:keepNext/>
        <w:spacing w:lineRule="exact" w:line="540" w:before="120" w:after="120"/>
        <w:ind w:firstLine="0"/>
        <w:jc w:val="both"/>
      </w:pPr>
      <w:r>
        <w:rPr>
          <w:rFonts w:ascii="楷体" w:hAnsi="楷体" w:eastAsia="楷体" w:cs="楷体" w:hint="eastAsia"/>
          <w:b w:val="0"/>
          <w:i w:val="0"/>
          <w:sz w:val="32"/>
          <w:color w:val="000000"/>
        </w:rPr>
        <w:t>2.1建设单位、设计单位基本情况</w:t>
      </w:r>
    </w:p>
    <w:p>
      <w:pPr>
        <w:spacing w:lineRule="exact" w:line="540" w:before="0" w:after="0"/>
        <w:ind w:firstLineChars="200" w:firstLine="280"/>
        <w:jc w:val="both"/>
      </w:pPr>
      <w:r>
        <w:rPr>
          <w:rFonts w:ascii="宋体" w:hAnsi="宋体" w:eastAsia="宋体" w:cs="宋体" w:hint="eastAsia"/>
          <w:b w:val="0"/>
          <w:i w:val="0"/>
          <w:sz w:val="28"/>
        </w:rPr>
        <w:t>（1）建设单位名称：泰安测试机械有限公司；统一社会信用代码</w:t>
      </w:r>
      <w:r>
        <w:rPr>
          <w:rFonts w:ascii="宋体" w:hAnsi="宋体" w:eastAsia="宋体" w:cs="宋体" w:hint="eastAsia"/>
          <w:b w:val="0"/>
          <w:i w:val="0"/>
          <w:sz w:val="28"/>
          <w:color w:val="C00000"/>
        </w:rPr>
        <w:t>【待用户填：统一社会信用代码】</w:t>
      </w:r>
      <w:r>
        <w:rPr>
          <w:rFonts w:ascii="宋体" w:hAnsi="宋体" w:eastAsia="宋体" w:cs="宋体" w:hint="eastAsia"/>
          <w:b w:val="0"/>
          <w:i w:val="0"/>
          <w:sz w:val="28"/>
        </w:rPr>
        <w:t>；建设地点：山东省泰安市岱岳区某工业园区；所属行业：机械加工。</w:t>
      </w:r>
    </w:p>
    <w:p>
      <w:pPr>
        <w:spacing w:lineRule="exact" w:line="540" w:before="0" w:after="0"/>
        <w:ind w:firstLineChars="200" w:firstLine="280"/>
        <w:jc w:val="both"/>
      </w:pPr>
      <w:r>
        <w:rPr>
          <w:rFonts w:ascii="宋体" w:hAnsi="宋体" w:eastAsia="宋体" w:cs="宋体" w:hint="eastAsia"/>
          <w:b w:val="0"/>
          <w:i w:val="0"/>
          <w:sz w:val="28"/>
        </w:rPr>
        <w:t>（2）本项目为新建项目，项目名称「年产1000台工程机械配件项目」，劳动定员 45人，项目总投资 2600 万元。</w:t>
      </w:r>
    </w:p>
    <w:p>
      <w:pPr>
        <w:spacing w:lineRule="exact" w:line="540" w:before="0" w:after="0"/>
        <w:ind w:firstLineChars="200" w:firstLine="280"/>
        <w:jc w:val="both"/>
      </w:pPr>
      <w:r>
        <w:rPr>
          <w:rFonts w:ascii="宋体" w:hAnsi="宋体" w:eastAsia="宋体" w:cs="宋体" w:hint="eastAsia"/>
          <w:b w:val="0"/>
          <w:i w:val="0"/>
          <w:sz w:val="28"/>
        </w:rPr>
        <w:t>（3）建设单位应依法设置安全生产管理机构或者配备专职安全生产管理人员，建立健全全员安全生产责任制、安全生产规章制度和各岗位安全操作规程，主要负责人对本单位的安全生产工作全面负责。</w:t>
      </w:r>
    </w:p>
    <w:p>
      <w:pPr>
        <w:spacing w:lineRule="exact" w:line="540" w:before="0" w:after="0"/>
        <w:ind w:firstLineChars="200" w:firstLine="280"/>
        <w:jc w:val="both"/>
      </w:pPr>
      <w:r>
        <w:rPr>
          <w:rFonts w:ascii="宋体" w:hAnsi="宋体" w:eastAsia="宋体" w:cs="宋体" w:hint="eastAsia"/>
          <w:b w:val="0"/>
          <w:i w:val="0"/>
          <w:sz w:val="28"/>
        </w:rPr>
        <w:t>（4）建设单位已明确的安全管理人员：张伟（主要负责人）、李强（安全管理员）。上述人员的任命文件、安全生产知识和管理能力考核合格证明应在送审时提供。</w:t>
      </w:r>
    </w:p>
    <w:p>
      <w:pPr>
        <w:spacing w:lineRule="exact" w:line="540" w:before="0" w:after="0"/>
        <w:ind w:firstLineChars="200" w:firstLine="280"/>
        <w:jc w:val="both"/>
      </w:pPr>
      <w:r>
        <w:rPr>
          <w:rFonts w:ascii="宋体" w:hAnsi="宋体" w:eastAsia="宋体" w:cs="宋体" w:hint="eastAsia"/>
          <w:b w:val="0"/>
          <w:i w:val="0"/>
          <w:sz w:val="28"/>
        </w:rPr>
        <w:t>（5）设计单位：承担本专篇编制的设计单位应具备与项目规模相适应的工程设计资质，设计单位名称、资质等级与证书编号</w:t>
      </w:r>
      <w:r>
        <w:rPr>
          <w:rFonts w:ascii="宋体" w:hAnsi="宋体" w:eastAsia="宋体" w:cs="宋体" w:hint="eastAsia"/>
          <w:b w:val="0"/>
          <w:i w:val="0"/>
          <w:sz w:val="28"/>
          <w:color w:val="C00000"/>
        </w:rPr>
        <w:t>【待用户填：设计单位名称及资质证书编号】</w:t>
      </w:r>
      <w:r>
        <w:rPr>
          <w:rFonts w:ascii="宋体" w:hAnsi="宋体" w:eastAsia="宋体" w:cs="宋体" w:hint="eastAsia"/>
          <w:b w:val="0"/>
          <w:i w:val="0"/>
          <w:sz w:val="28"/>
        </w:rPr>
        <w:t>。设计单位应在总平面、建筑、结构、给排水、电气、暖通等专业图纸上签字并加盖出图章，对设计文件的质量负责。</w:t>
      </w:r>
    </w:p>
    <w:p>
      <w:pPr>
        <w:spacing w:lineRule="exact" w:line="540" w:before="0" w:after="0"/>
        <w:ind w:firstLineChars="200" w:firstLine="280"/>
        <w:jc w:val="both"/>
      </w:pPr>
      <w:r>
        <w:rPr>
          <w:rFonts w:ascii="宋体" w:hAnsi="宋体" w:eastAsia="宋体" w:cs="宋体" w:hint="eastAsia"/>
          <w:b w:val="0"/>
          <w:i w:val="0"/>
          <w:sz w:val="28"/>
        </w:rPr>
        <w:t>（6）建设单位和设计单位应在设计合同中明确安全设施设计的范围、深度、提交时间与配合事项；设计单位应参加建设单位组织的设计审查，并按审查意见修改完善设计文件。</w:t>
      </w:r>
    </w:p>
    <w:p>
      <w:pPr>
        <w:pStyle w:val="Heading2"/>
        <w:keepNext/>
        <w:spacing w:lineRule="exact" w:line="540" w:before="120" w:after="120"/>
        <w:ind w:firstLine="0"/>
        <w:jc w:val="both"/>
      </w:pPr>
      <w:r>
        <w:rPr>
          <w:rFonts w:ascii="楷体" w:hAnsi="楷体" w:eastAsia="楷体" w:cs="楷体" w:hint="eastAsia"/>
          <w:b w:val="0"/>
          <w:i w:val="0"/>
          <w:sz w:val="32"/>
          <w:color w:val="000000"/>
        </w:rPr>
        <w:t>2.2建设项目性质、任务及范围</w:t>
      </w:r>
    </w:p>
    <w:p>
      <w:pPr>
        <w:spacing w:lineRule="exact" w:line="540" w:before="0" w:after="0"/>
        <w:ind w:firstLineChars="200" w:firstLine="280"/>
        <w:jc w:val="both"/>
      </w:pPr>
      <w:r>
        <w:rPr>
          <w:rFonts w:ascii="宋体" w:hAnsi="宋体" w:eastAsia="宋体" w:cs="宋体" w:hint="eastAsia"/>
          <w:b w:val="0"/>
          <w:i w:val="0"/>
          <w:sz w:val="28"/>
        </w:rPr>
        <w:t>（1）项目名称：年产1000台工程机械配件项目；建设性质：新建；所属行业：机械加工；建设地点：山东省泰安市岱岳区某工业园区。</w:t>
      </w:r>
    </w:p>
    <w:p>
      <w:pPr>
        <w:spacing w:lineRule="exact" w:line="540" w:before="0" w:after="0"/>
        <w:ind w:firstLineChars="200" w:firstLine="280"/>
        <w:jc w:val="both"/>
      </w:pPr>
      <w:r>
        <w:rPr>
          <w:rFonts w:ascii="宋体" w:hAnsi="宋体" w:eastAsia="宋体" w:cs="宋体" w:hint="eastAsia"/>
          <w:b w:val="0"/>
          <w:i w:val="0"/>
          <w:sz w:val="28"/>
        </w:rPr>
        <w:t>（2）建设任务：本项目按建设单位确定的产品方案和建设规模实施，完成主要生产装置、公用工程及辅助设施的建设，形成与产品方案相适应的生产能力。产品品种、规格、产能及包装方式以建设单位提供的产品方案为准；现有资料未列明的，以</w:t>
      </w:r>
      <w:r>
        <w:rPr>
          <w:rFonts w:ascii="宋体" w:hAnsi="宋体" w:eastAsia="宋体" w:cs="宋体" w:hint="eastAsia"/>
          <w:b w:val="0"/>
          <w:i w:val="0"/>
          <w:sz w:val="28"/>
          <w:color w:val="C00000"/>
        </w:rPr>
        <w:t>【待用户填：产品方案及产能】</w:t>
      </w:r>
      <w:r>
        <w:rPr>
          <w:rFonts w:ascii="宋体" w:hAnsi="宋体" w:eastAsia="宋体" w:cs="宋体" w:hint="eastAsia"/>
          <w:b w:val="0"/>
          <w:i w:val="0"/>
          <w:sz w:val="28"/>
        </w:rPr>
        <w:t>标注。</w:t>
      </w:r>
    </w:p>
    <w:p>
      <w:pPr>
        <w:spacing w:lineRule="exact" w:line="540" w:before="0" w:after="0"/>
        <w:ind w:firstLineChars="200" w:firstLine="280"/>
        <w:jc w:val="both"/>
      </w:pPr>
      <w:r>
        <w:rPr>
          <w:rFonts w:ascii="宋体" w:hAnsi="宋体" w:eastAsia="宋体" w:cs="宋体" w:hint="eastAsia"/>
          <w:b w:val="0"/>
          <w:i w:val="0"/>
          <w:sz w:val="28"/>
        </w:rPr>
        <w:t>（3）建设范围：项目用地范围内的主要生产装置、仓储设施、公用工程及辅助设施、厂区道路与绿化、消防与安全设施。项目占地面积 12000平方米，建筑面积 7600平方米。</w:t>
      </w:r>
    </w:p>
    <w:p>
      <w:pPr>
        <w:spacing w:lineRule="exact" w:line="540" w:before="0" w:after="0"/>
        <w:ind w:firstLineChars="200" w:firstLine="280"/>
        <w:jc w:val="both"/>
      </w:pPr>
      <w:r>
        <w:rPr>
          <w:rFonts w:ascii="宋体" w:hAnsi="宋体" w:eastAsia="宋体" w:cs="宋体" w:hint="eastAsia"/>
          <w:b w:val="0"/>
          <w:i w:val="0"/>
          <w:sz w:val="28"/>
        </w:rPr>
        <w:t>（4）设计范围：本专篇覆盖总平面布置、建筑与结构、生产工艺与设备、电气、给排水、通风除尘、消防、职业危害防护、安全管理与应急救援等专业的安全设施设计内容，并对项目建成后可能存在的危险有害因素提出防范措施。</w:t>
      </w:r>
    </w:p>
    <w:p>
      <w:pPr>
        <w:spacing w:lineRule="exact" w:line="540" w:before="0" w:after="0"/>
        <w:ind w:firstLineChars="200" w:firstLine="280"/>
        <w:jc w:val="both"/>
      </w:pPr>
      <w:r>
        <w:rPr>
          <w:rFonts w:ascii="宋体" w:hAnsi="宋体" w:eastAsia="宋体" w:cs="宋体" w:hint="eastAsia"/>
          <w:b w:val="0"/>
          <w:i w:val="0"/>
          <w:sz w:val="28"/>
        </w:rPr>
        <w:t>（5）设计界面：厂外供电、供水、供气等外部条件以建设单位与供应单位签订的协议为准；厂内公用工程管线与生产装置生产场所外墙轴线外 1 m。设计单位资质、图签、注册人员签字与出图章不在本专篇范围内，由具备相应资质的设计单位在送审前完成。</w:t>
      </w:r>
    </w:p>
    <w:p>
      <w:pPr>
        <w:keepNext/>
        <w:spacing w:before="0" w:after="0" w:lineRule="exact" w:line="540"/>
        <w:ind w:firstLine="0"/>
        <w:jc w:val="center"/>
      </w:pPr>
      <w:r>
        <w:rPr>
          <w:rFonts w:ascii="宋体" w:hAnsi="宋体" w:eastAsia="宋体" w:cs="宋体" w:hint="eastAsia"/>
          <w:b w:val="0"/>
          <w:i w:val="0"/>
          <w:sz w:val="28"/>
        </w:rPr>
        <w:t>表2-2-1 项目设计范围一览表</w:t>
      </w:r>
    </w:p>
    <w:tbl>
      <w:tblPr>
        <w:tblW w:w="9213" w:type="dxa"/>
        <w:jc w:val="center"/>
        <w:tblInd w:w="0" w:type="dxa"/>
        <w:tblLayout w:type="fixed"/>
        <w:tblCellMar>
          <w:top w:w="0" w:type="dxa"/>
          <w:left w:w="108" w:type="dxa"/>
          <w:bottom w:w="0" w:type="dxa"/>
          <w:right w:w="108" w:type="dxa"/>
        </w:tblCellMar>
      </w:tblPr>
      <w:tblGrid>
        <w:gridCol w:w="660"/>
        <w:gridCol w:w="1267"/>
        <w:gridCol w:w="2112"/>
        <w:gridCol w:w="4012"/>
        <w:gridCol w:w="1161"/>
      </w:tblGrid>
      <w:tr>
        <w:trPr>
          <w:tblHeader w:val="true"/>
          <w:cantSplit w:val="true"/>
          <w:trHeight w:val="482" w:hRule="atLeast"/>
        </w:trPr>
        <w:tc>
          <w:tcPr>
            <w:tcW w:type="dxa" w:w="6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26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系统类别</w:t>
            </w:r>
          </w:p>
        </w:tc>
        <w:tc>
          <w:tcPr>
            <w:tcW w:type="dxa" w:w="21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系统及设施</w:t>
            </w:r>
          </w:p>
        </w:tc>
        <w:tc>
          <w:tcPr>
            <w:tcW w:type="dxa" w:w="40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主要内容</w:t>
            </w:r>
          </w:p>
        </w:tc>
        <w:tc>
          <w:tcPr>
            <w:tcW w:type="dxa" w:w="11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是否设计范围</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主体工程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钢结构，面积6000㎡，1层，建筑高度12m，主要功能为下料、机加工、焊接、装配、喷涂，火灾危险性丙类，耐火等级二级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储运工程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原料库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钢结构，面积600㎡，1层，建筑高度8m，主要功能为钢材存放，火灾危险性丙类，耐火等级二级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钢结构，面积500㎡，1层，建筑高度8m，主要功能为成品存放，火灾危险性丙类，耐火等级二级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辅助设施</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框架结构，面积500㎡，3层，建筑高度11m，主要功能为办公、会议、值班，火灾危险性民用类，耐火等级二级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公用工程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压缩空气系统</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包括：压缩空气</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给排水系统</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包括：给排水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其他公用工程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包括：供电（10kV/0.4kV）、通风</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w:t>
            </w:r>
          </w:p>
        </w:tc>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辅助设施</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车床</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9</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铣床</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10</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钻床</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11</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锯床</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12</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电焊机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13</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喷涂设备</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14</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行车</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15</w:t>
            </w: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空压机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按项目生产需要配置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是</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2.3建设项目基本概况</w:t>
      </w:r>
    </w:p>
    <w:p>
      <w:pPr>
        <w:spacing w:lineRule="exact" w:line="540" w:before="0" w:after="0"/>
        <w:ind w:firstLineChars="200" w:firstLine="280"/>
        <w:jc w:val="both"/>
      </w:pPr>
      <w:r>
        <w:rPr>
          <w:rFonts w:ascii="宋体" w:hAnsi="宋体" w:eastAsia="宋体" w:cs="宋体" w:hint="eastAsia"/>
          <w:b w:val="0"/>
          <w:i w:val="0"/>
          <w:sz w:val="28"/>
        </w:rPr>
        <w:t>（1）项目名称：年产1000台工程机械配件项目；建设性质：新建；建设地点：山东省泰安市岱岳区某工业园区；行业类别：机械加工。</w:t>
      </w:r>
    </w:p>
    <w:p>
      <w:pPr>
        <w:spacing w:lineRule="exact" w:line="540" w:before="0" w:after="0"/>
        <w:ind w:firstLineChars="200" w:firstLine="280"/>
        <w:jc w:val="both"/>
      </w:pPr>
      <w:r>
        <w:rPr>
          <w:rFonts w:ascii="宋体" w:hAnsi="宋体" w:eastAsia="宋体" w:cs="宋体" w:hint="eastAsia"/>
          <w:b w:val="0"/>
          <w:i w:val="0"/>
          <w:sz w:val="28"/>
        </w:rPr>
        <w:t>（2）建设规模：项目占地面积 12000平方米，总建筑面积 7600平方米，项目总投资 2600 万元，劳动定员 45人。</w:t>
      </w:r>
    </w:p>
    <w:p>
      <w:pPr>
        <w:spacing w:lineRule="exact" w:line="540" w:before="0" w:after="0"/>
        <w:ind w:firstLineChars="200" w:firstLine="280"/>
        <w:jc w:val="both"/>
      </w:pPr>
      <w:r>
        <w:rPr>
          <w:rFonts w:ascii="宋体" w:hAnsi="宋体" w:eastAsia="宋体" w:cs="宋体" w:hint="eastAsia"/>
          <w:b w:val="0"/>
          <w:i w:val="0"/>
          <w:sz w:val="28"/>
        </w:rPr>
        <w:t>（3）生产工艺：原料入库 → 下料 → 机加工 → 焊接 → 装配 → 喷涂 → 检验入库。工艺参数与操作条件</w:t>
      </w:r>
      <w:r>
        <w:rPr>
          <w:rFonts w:ascii="宋体" w:hAnsi="宋体" w:eastAsia="宋体" w:cs="宋体" w:hint="eastAsia"/>
          <w:b w:val="0"/>
          <w:i w:val="0"/>
          <w:sz w:val="28"/>
          <w:color w:val="C00000"/>
        </w:rPr>
        <w:t>【待用户填：工艺说明及关键工艺参数】</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（4）主要设备设施：共 7 类，包括 车床、铣床、锯床、电焊机、喷涂设备、桥式起重机、叉车。设备关键参数：车床，CK6140；铣床，X5032；锯床，GB4028；电焊机，ZX7-400；喷涂设备，静电喷粉线；桥式起重机，LD5t；叉车，CPCD30。</w:t>
      </w:r>
    </w:p>
    <w:p>
      <w:pPr>
        <w:spacing w:lineRule="exact" w:line="540" w:before="0" w:after="0"/>
        <w:ind w:firstLineChars="200" w:firstLine="280"/>
        <w:jc w:val="both"/>
      </w:pPr>
      <w:r>
        <w:rPr>
          <w:rFonts w:ascii="宋体" w:hAnsi="宋体" w:eastAsia="宋体" w:cs="宋体" w:hint="eastAsia"/>
          <w:b w:val="0"/>
          <w:i w:val="0"/>
          <w:sz w:val="28"/>
        </w:rPr>
        <w:t>（5）主要原辅材料：共 4 种，包括 钢材、环氧粉末涂料、二氧化碳气瓶、润滑油；物料最大贮量与储存位置见第 3 章及附表 4。</w:t>
      </w:r>
    </w:p>
    <w:p>
      <w:pPr>
        <w:spacing w:lineRule="exact" w:line="540" w:before="0" w:after="0"/>
        <w:ind w:firstLineChars="200" w:firstLine="280"/>
        <w:jc w:val="both"/>
      </w:pPr>
      <w:r>
        <w:rPr>
          <w:rFonts w:ascii="宋体" w:hAnsi="宋体" w:eastAsia="宋体" w:cs="宋体" w:hint="eastAsia"/>
          <w:b w:val="0"/>
          <w:i w:val="0"/>
          <w:sz w:val="28"/>
        </w:rPr>
        <w:t>（6）主要建构筑物：生产车间（下料、机加工、焊接、装配、喷涂，6000 ㎡，1 层）；原料库（钢材存放，600 ㎡，1 层）；成品库（成品存放，500 ㎡，1 层）；综合办公楼（办公、会议、值班，500 ㎡，3 层）。</w:t>
      </w:r>
    </w:p>
    <w:p>
      <w:pPr>
        <w:spacing w:lineRule="exact" w:line="540" w:before="0" w:after="0"/>
        <w:ind w:firstLineChars="200" w:firstLine="280"/>
        <w:jc w:val="both"/>
      </w:pPr>
      <w:r>
        <w:rPr>
          <w:rFonts w:ascii="宋体" w:hAnsi="宋体" w:eastAsia="宋体" w:cs="宋体" w:hint="eastAsia"/>
          <w:b w:val="0"/>
          <w:i w:val="0"/>
          <w:sz w:val="28"/>
        </w:rPr>
        <w:t>（7）公用工程：给排水、供电（10kV/0.4kV）、压缩空气、通风。</w:t>
      </w:r>
    </w:p>
    <w:p>
      <w:pPr>
        <w:keepNext/>
        <w:spacing w:before="0" w:after="0" w:lineRule="exact" w:line="540"/>
        <w:ind w:firstLine="0"/>
        <w:jc w:val="center"/>
      </w:pPr>
      <w:r>
        <w:rPr>
          <w:rFonts w:ascii="宋体" w:hAnsi="宋体" w:eastAsia="宋体" w:cs="宋体" w:hint="eastAsia"/>
          <w:b w:val="0"/>
          <w:i w:val="0"/>
          <w:sz w:val="28"/>
        </w:rPr>
        <w:t>表2-3-1 主要生产设备一览表</w:t>
      </w:r>
    </w:p>
    <w:tbl>
      <w:tblPr>
        <w:tblW w:w="9213" w:type="dxa"/>
        <w:jc w:val="center"/>
        <w:tblInd w:w="0" w:type="dxa"/>
        <w:tblLayout w:type="fixed"/>
        <w:tblCellMar>
          <w:top w:w="0" w:type="dxa"/>
          <w:left w:w="108" w:type="dxa"/>
          <w:bottom w:w="0" w:type="dxa"/>
          <w:right w:w="108" w:type="dxa"/>
        </w:tblCellMar>
      </w:tblPr>
      <w:tblGrid>
        <w:gridCol w:w="750"/>
        <w:gridCol w:w="2881"/>
        <w:gridCol w:w="2041"/>
        <w:gridCol w:w="2041"/>
        <w:gridCol w:w="750"/>
        <w:gridCol w:w="750"/>
      </w:tblGrid>
      <w:tr>
        <w:trPr>
          <w:tblHeader w:val="true"/>
          <w:cantSplit w:val="true"/>
          <w:trHeight w:val="482" w:hRule="atLeast"/>
        </w:trPr>
        <w:tc>
          <w:tcPr>
            <w:tcW w:type="dxa" w:w="75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8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设备名称</w:t>
            </w:r>
          </w:p>
        </w:tc>
        <w:tc>
          <w:tcPr>
            <w:tcW w:type="dxa" w:w="204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规格型号</w:t>
            </w:r>
          </w:p>
        </w:tc>
        <w:tc>
          <w:tcPr>
            <w:tcW w:type="dxa" w:w="204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外形尺寸</w:t>
            </w:r>
          </w:p>
        </w:tc>
        <w:tc>
          <w:tcPr>
            <w:tcW w:type="dxa" w:w="75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75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CK6140</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铣床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X5032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锯床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GB4028</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电焊机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ZX7-400</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喷涂设备</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静电喷粉线</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桥式起重机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LD5t</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叉车</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CPCD30</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台</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r>
    </w:tbl>
    <w:p>
      <w:pPr>
        <w:keepNext/>
        <w:spacing w:before="0" w:after="0" w:lineRule="exact" w:line="540"/>
        <w:ind w:firstLine="0"/>
        <w:jc w:val="center"/>
      </w:pPr>
      <w:r>
        <w:rPr>
          <w:rFonts w:ascii="宋体" w:hAnsi="宋体" w:eastAsia="宋体" w:cs="宋体" w:hint="eastAsia"/>
          <w:b w:val="0"/>
          <w:i w:val="0"/>
          <w:sz w:val="28"/>
        </w:rPr>
        <w:t>表2-3-2 公用工程及配套设施一览表</w:t>
      </w:r>
    </w:p>
    <w:tbl>
      <w:tblPr>
        <w:tblW w:w="9213" w:type="dxa"/>
        <w:jc w:val="center"/>
        <w:tblInd w:w="0" w:type="dxa"/>
        <w:tblLayout w:type="fixed"/>
        <w:tblCellMar>
          <w:top w:w="0" w:type="dxa"/>
          <w:left w:w="108" w:type="dxa"/>
          <w:bottom w:w="0" w:type="dxa"/>
          <w:right w:w="108" w:type="dxa"/>
        </w:tblCellMar>
      </w:tblPr>
      <w:tblGrid>
        <w:gridCol w:w="698"/>
        <w:gridCol w:w="1340"/>
        <w:gridCol w:w="2178"/>
        <w:gridCol w:w="1843"/>
        <w:gridCol w:w="754"/>
        <w:gridCol w:w="754"/>
        <w:gridCol w:w="1647"/>
      </w:tblGrid>
      <w:tr>
        <w:trPr>
          <w:tblHeader w:val="true"/>
          <w:cantSplit w:val="true"/>
          <w:trHeight w:val="482" w:hRule="atLeast"/>
        </w:trPr>
        <w:tc>
          <w:tcPr>
            <w:tcW w:type="dxa" w:w="69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3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系统名称</w:t>
            </w:r>
          </w:p>
        </w:tc>
        <w:tc>
          <w:tcPr>
            <w:tcW w:type="dxa" w:w="217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设备名称</w:t>
            </w:r>
          </w:p>
        </w:tc>
        <w:tc>
          <w:tcPr>
            <w:tcW w:type="dxa" w:w="18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型号规格</w:t>
            </w:r>
          </w:p>
        </w:tc>
        <w:tc>
          <w:tcPr>
            <w:tcW w:type="dxa" w:w="7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7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164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312"/>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给排水系统</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供电（10kV/0.4kV）</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压缩空气</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通风</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表2-3-3 特种设备及安全附件一览表</w:t>
      </w:r>
    </w:p>
    <w:tbl>
      <w:tblPr>
        <w:tblW w:w="9213" w:type="dxa"/>
        <w:jc w:val="center"/>
        <w:tblInd w:w="0" w:type="dxa"/>
        <w:tblLayout w:type="fixed"/>
        <w:tblCellMar>
          <w:top w:w="0" w:type="dxa"/>
          <w:left w:w="108" w:type="dxa"/>
          <w:bottom w:w="0" w:type="dxa"/>
          <w:right w:w="108" w:type="dxa"/>
        </w:tblCellMar>
      </w:tblPr>
      <w:tblGrid>
        <w:gridCol w:w="696"/>
        <w:gridCol w:w="1531"/>
        <w:gridCol w:w="2477"/>
        <w:gridCol w:w="751"/>
        <w:gridCol w:w="751"/>
        <w:gridCol w:w="1865"/>
        <w:gridCol w:w="1141"/>
      </w:tblGrid>
      <w:tr>
        <w:trPr>
          <w:tblHeader w:val="true"/>
          <w:cantSplit w:val="true"/>
          <w:trHeight w:val="482" w:hRule="atLeast"/>
        </w:trPr>
        <w:tc>
          <w:tcPr>
            <w:tcW w:type="dxa" w:w="6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名称</w:t>
            </w:r>
          </w:p>
        </w:tc>
        <w:tc>
          <w:tcPr>
            <w:tcW w:type="dxa" w:w="247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规格型号</w:t>
            </w:r>
          </w:p>
        </w:tc>
        <w:tc>
          <w:tcPr>
            <w:tcW w:type="dxa" w:w="75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75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186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安全附件</w:t>
            </w:r>
          </w:p>
        </w:tc>
        <w:tc>
          <w:tcPr>
            <w:tcW w:type="dxa" w:w="114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桥式起重机</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LD5t</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台</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按设备说明书配置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叉车</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CPCD30</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台</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按设备说明书配置</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w:t>
            </w:r>
          </w:p>
        </w:tc>
      </w:tr>
    </w:tbl>
    <w:p>
      <w:pPr>
        <w:keepNext/>
        <w:spacing w:before="0" w:after="0" w:lineRule="exact" w:line="540"/>
        <w:ind w:firstLine="0"/>
        <w:jc w:val="center"/>
      </w:pPr>
      <w:r>
        <w:rPr>
          <w:rFonts w:ascii="宋体" w:hAnsi="宋体" w:eastAsia="宋体" w:cs="宋体" w:hint="eastAsia"/>
          <w:b w:val="0"/>
          <w:i w:val="0"/>
          <w:sz w:val="28"/>
        </w:rPr>
        <w:t>表2-3-4 主要原辅材料情况一览表</w:t>
      </w:r>
    </w:p>
    <w:tbl>
      <w:tblPr>
        <w:tblW w:w="9213" w:type="dxa"/>
        <w:jc w:val="center"/>
        <w:tblInd w:w="0" w:type="dxa"/>
        <w:tblLayout w:type="fixed"/>
        <w:tblCellMar>
          <w:top w:w="0" w:type="dxa"/>
          <w:left w:w="108" w:type="dxa"/>
          <w:bottom w:w="0" w:type="dxa"/>
          <w:right w:w="108" w:type="dxa"/>
        </w:tblCellMar>
      </w:tblPr>
      <w:tblGrid>
        <w:gridCol w:w="681"/>
        <w:gridCol w:w="1036"/>
        <w:gridCol w:w="1254"/>
        <w:gridCol w:w="1581"/>
        <w:gridCol w:w="681"/>
        <w:gridCol w:w="818"/>
        <w:gridCol w:w="1090"/>
        <w:gridCol w:w="981"/>
        <w:gridCol w:w="1090"/>
      </w:tblGrid>
      <w:tr>
        <w:trPr>
          <w:tblHeader w:val="true"/>
          <w:cantSplit w:val="true"/>
          <w:trHeight w:val="482" w:hRule="atLeast"/>
        </w:trPr>
        <w:tc>
          <w:tcPr>
            <w:tcW w:type="dxa" w:w="6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03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名称</w:t>
            </w:r>
          </w:p>
        </w:tc>
        <w:tc>
          <w:tcPr>
            <w:tcW w:type="dxa" w:w="12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吨产品</w:t>
              <w:br/>
              <w:t>消耗</w:t>
            </w:r>
          </w:p>
        </w:tc>
        <w:tc>
          <w:tcPr>
            <w:tcW w:type="dxa" w:w="15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年用量</w:t>
            </w:r>
          </w:p>
        </w:tc>
        <w:tc>
          <w:tcPr>
            <w:tcW w:type="dxa" w:w="6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物态</w:t>
            </w:r>
          </w:p>
        </w:tc>
        <w:tc>
          <w:tcPr>
            <w:tcW w:type="dxa" w:w="8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最大</w:t>
              <w:br/>
              <w:t>贮量</w:t>
            </w:r>
          </w:p>
        </w:tc>
        <w:tc>
          <w:tcPr>
            <w:tcW w:type="dxa" w:w="109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火灾危险性类别</w:t>
            </w:r>
          </w:p>
        </w:tc>
        <w:tc>
          <w:tcPr>
            <w:tcW w:type="dxa" w:w="9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储存位置</w:t>
            </w:r>
          </w:p>
        </w:tc>
        <w:tc>
          <w:tcPr>
            <w:tcW w:type="dxa" w:w="109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9189"/>
            <w:vAlign w:val="center"/>
            <w:gridSpan w:val="9"/>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i w:val="0"/>
                <w:sz w:val="21"/>
              </w:rPr>
              <w:t>辅料</w:t>
            </w: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润滑油</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液体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0.5</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可燃</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9189"/>
            <w:vAlign w:val="center"/>
            <w:gridSpan w:val="9"/>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i w:val="0"/>
                <w:sz w:val="21"/>
              </w:rPr>
              <w:t>其他物料</w:t>
            </w: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800t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固体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不燃</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12t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固体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可燃</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二氧化碳气瓶</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600瓶</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气体</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20</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承压</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表2-3-5 本项目建构筑物组成表</w:t>
      </w:r>
    </w:p>
    <w:tbl>
      <w:tblPr>
        <w:tblW w:w="9213" w:type="dxa"/>
        <w:jc w:val="center"/>
        <w:tblInd w:w="0" w:type="dxa"/>
        <w:tblLayout w:type="fixed"/>
        <w:tblCellMar>
          <w:top w:w="0" w:type="dxa"/>
          <w:left w:w="108" w:type="dxa"/>
          <w:bottom w:w="0" w:type="dxa"/>
          <w:right w:w="108" w:type="dxa"/>
        </w:tblCellMar>
      </w:tblPr>
      <w:tblGrid>
        <w:gridCol w:w="733"/>
        <w:gridCol w:w="1526"/>
        <w:gridCol w:w="1174"/>
        <w:gridCol w:w="733"/>
        <w:gridCol w:w="1174"/>
        <w:gridCol w:w="704"/>
        <w:gridCol w:w="763"/>
        <w:gridCol w:w="880"/>
        <w:gridCol w:w="763"/>
        <w:gridCol w:w="763"/>
      </w:tblGrid>
      <w:tr>
        <w:trPr>
          <w:tblHeader w:val="true"/>
          <w:cantSplit w:val="true"/>
          <w:trHeight w:val="482" w:hRule="atLeast"/>
        </w:trPr>
        <w:tc>
          <w:tcPr>
            <w:tcW w:type="dxa" w:w="73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5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建构筑物名称</w:t>
            </w:r>
          </w:p>
        </w:tc>
        <w:tc>
          <w:tcPr>
            <w:tcW w:type="dxa" w:w="11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建筑面积(㎡)</w:t>
            </w:r>
          </w:p>
        </w:tc>
        <w:tc>
          <w:tcPr>
            <w:tcW w:type="dxa" w:w="73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层数</w:t>
            </w:r>
          </w:p>
        </w:tc>
        <w:tc>
          <w:tcPr>
            <w:tcW w:type="dxa" w:w="11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结构形式</w:t>
            </w:r>
          </w:p>
        </w:tc>
        <w:tc>
          <w:tcPr>
            <w:tcW w:type="dxa" w:w="7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高度(m)</w:t>
            </w:r>
          </w:p>
        </w:tc>
        <w:tc>
          <w:tcPr>
            <w:tcW w:type="dxa" w:w="7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耐火等级</w:t>
            </w:r>
          </w:p>
        </w:tc>
        <w:tc>
          <w:tcPr>
            <w:tcW w:type="dxa" w:w="88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火灾危险性类别</w:t>
            </w:r>
          </w:p>
        </w:tc>
        <w:tc>
          <w:tcPr>
            <w:tcW w:type="dxa" w:w="7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抗震设防类别</w:t>
            </w:r>
          </w:p>
        </w:tc>
        <w:tc>
          <w:tcPr>
            <w:tcW w:type="dxa" w:w="7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防雷类别</w:t>
            </w:r>
          </w:p>
        </w:tc>
      </w:tr>
      <w:tr>
        <w:trPr>
          <w:trHeight w:val="482" w:hRule="atLeast"/>
          <w:cantSplit w:val="true"/>
        </w:trPr>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6000</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12</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600</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500</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9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500</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框架</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11</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二级</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民用</w:t>
            </w: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918"/>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表2-3-6 主要技术经济指标</w:t>
      </w:r>
    </w:p>
    <w:tbl>
      <w:tblPr>
        <w:tblW w:w="9213" w:type="dxa"/>
        <w:jc w:val="center"/>
        <w:tblInd w:w="0" w:type="dxa"/>
        <w:tblLayout w:type="fixed"/>
        <w:tblCellMar>
          <w:top w:w="0" w:type="dxa"/>
          <w:left w:w="108" w:type="dxa"/>
          <w:bottom w:w="0" w:type="dxa"/>
          <w:right w:w="108" w:type="dxa"/>
        </w:tblCellMar>
      </w:tblPr>
      <w:tblGrid>
        <w:gridCol w:w="692"/>
        <w:gridCol w:w="3652"/>
        <w:gridCol w:w="1439"/>
        <w:gridCol w:w="1771"/>
        <w:gridCol w:w="1660"/>
      </w:tblGrid>
      <w:tr>
        <w:trPr>
          <w:tblHeader w:val="true"/>
          <w:cantSplit w:val="true"/>
          <w:trHeight w:val="482" w:hRule="atLeast"/>
        </w:trPr>
        <w:tc>
          <w:tcPr>
            <w:tcW w:type="dxa" w:w="6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36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指标名称</w:t>
            </w:r>
          </w:p>
        </w:tc>
        <w:tc>
          <w:tcPr>
            <w:tcW w:type="dxa" w:w="143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177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16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总建筑面积</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平方米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7600</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3建设项目涉及的危险、有害因素和危险、有害程度及周边环境安全分析</w:t>
      </w:r>
    </w:p>
    <w:p>
      <w:pPr>
        <w:pStyle w:val="Heading2"/>
        <w:keepNext/>
        <w:spacing w:lineRule="exact" w:line="540" w:before="120" w:after="120"/>
        <w:ind w:firstLine="0"/>
        <w:jc w:val="both"/>
      </w:pPr>
      <w:r>
        <w:rPr>
          <w:rFonts w:ascii="楷体" w:hAnsi="楷体" w:eastAsia="楷体" w:cs="楷体" w:hint="eastAsia"/>
          <w:b w:val="0"/>
          <w:i w:val="0"/>
          <w:sz w:val="32"/>
          <w:color w:val="000000"/>
        </w:rPr>
        <w:t>3.1主要物料危险、有害因素、有害程度分析</w:t>
      </w:r>
    </w:p>
    <w:p>
      <w:pPr>
        <w:spacing w:lineRule="exact" w:line="540" w:before="0" w:after="0"/>
        <w:ind w:firstLineChars="200" w:firstLine="280"/>
        <w:jc w:val="both"/>
      </w:pPr>
      <w:r>
        <w:rPr>
          <w:rFonts w:ascii="宋体" w:hAnsi="宋体" w:eastAsia="宋体" w:cs="宋体" w:hint="eastAsia"/>
          <w:b w:val="0"/>
          <w:i w:val="0"/>
          <w:sz w:val="28"/>
        </w:rPr>
        <w:t>（1）辨识方法。采用安全检查表法、预先危险性分析法与类比法相结合，按《生产过程危险和有害因素分类与代码》GB/T 13861-2022 的四大类（人的因素、物的因素、环境因素、管理因素）逐项辨识，按《企业职工伤亡事故分类》GB 6441-2025 归类可能发生的事故类型。</w:t>
      </w:r>
    </w:p>
    <w:p>
      <w:pPr>
        <w:spacing w:lineRule="exact" w:line="540" w:before="0" w:after="0"/>
        <w:ind w:firstLineChars="200" w:firstLine="280"/>
        <w:jc w:val="both"/>
      </w:pPr>
      <w:r>
        <w:rPr>
          <w:rFonts w:ascii="宋体" w:hAnsi="宋体" w:eastAsia="宋体" w:cs="宋体" w:hint="eastAsia"/>
          <w:b w:val="0"/>
          <w:i w:val="0"/>
          <w:sz w:val="28"/>
        </w:rPr>
        <w:t>（2）辨识范围。覆盖主要物料、生产工艺、设备设施、公用工程、检维修作业、建筑施工阶段、建筑及场地布置、自然环境与周边环境。</w:t>
      </w:r>
    </w:p>
    <w:p>
      <w:pPr>
        <w:spacing w:lineRule="exact" w:line="540" w:before="0" w:after="0"/>
        <w:ind w:firstLineChars="200" w:firstLine="280"/>
        <w:jc w:val="both"/>
      </w:pPr>
      <w:r>
        <w:rPr>
          <w:rFonts w:ascii="宋体" w:hAnsi="宋体" w:eastAsia="宋体" w:cs="宋体" w:hint="eastAsia"/>
          <w:b w:val="0"/>
          <w:i w:val="0"/>
          <w:sz w:val="28"/>
        </w:rPr>
        <w:t>（3）危险程度判定。按事故发生的可能性、暴露于危险环境的频繁程度、事故后果严重程度进行定性或半定量评价；构成重大危险源的，按 GB 18218 单独判定。</w:t>
      </w:r>
    </w:p>
    <w:p>
      <w:pPr>
        <w:spacing w:lineRule="exact" w:line="540" w:before="0" w:after="0"/>
        <w:ind w:firstLineChars="200" w:firstLine="280"/>
        <w:jc w:val="both"/>
      </w:pPr>
      <w:r>
        <w:rPr>
          <w:rFonts w:ascii="宋体" w:hAnsi="宋体" w:eastAsia="宋体" w:cs="宋体" w:hint="eastAsia"/>
          <w:b w:val="0"/>
          <w:i w:val="0"/>
          <w:sz w:val="28"/>
        </w:rPr>
        <w:t>（4）本项目已辨识的事故类型为：粉尘爆炸、火灾、灼烫、触电、物体打击、容器爆炸、起重致害、厂（场）内车辆致害、机械致害。具体分析见本章各节。</w:t>
      </w:r>
    </w:p>
    <w:p>
      <w:pPr>
        <w:keepNext/>
        <w:spacing w:before="0" w:after="0" w:lineRule="exact" w:line="540"/>
        <w:ind w:firstLine="0"/>
        <w:jc w:val="center"/>
      </w:pPr>
      <w:r>
        <w:rPr>
          <w:rFonts w:ascii="宋体" w:hAnsi="宋体" w:eastAsia="宋体" w:cs="宋体" w:hint="eastAsia"/>
          <w:b w:val="0"/>
          <w:i w:val="0"/>
          <w:sz w:val="28"/>
        </w:rPr>
        <w:t>表3-1-1 危险有害因素辨识方法与依据表</w:t>
      </w:r>
    </w:p>
    <w:tbl>
      <w:tblPr>
        <w:tblW w:w="9213" w:type="dxa"/>
        <w:jc w:val="center"/>
        <w:tblInd w:w="0" w:type="dxa"/>
        <w:tblLayout w:type="fixed"/>
        <w:tblCellMar>
          <w:top w:w="0" w:type="dxa"/>
          <w:left w:w="108" w:type="dxa"/>
          <w:bottom w:w="0" w:type="dxa"/>
          <w:right w:w="108" w:type="dxa"/>
        </w:tblCellMar>
      </w:tblPr>
      <w:tblGrid>
        <w:gridCol w:w="1675"/>
        <w:gridCol w:w="2154"/>
        <w:gridCol w:w="2991"/>
        <w:gridCol w:w="2393"/>
      </w:tblGrid>
      <w:tr>
        <w:trPr>
          <w:tblHeader w:val="true"/>
          <w:cantSplit w:val="true"/>
          <w:trHeight w:val="482" w:hRule="atLeast"/>
        </w:trPr>
        <w:tc>
          <w:tcPr>
            <w:tcW w:type="dxa" w:w="167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辨识对象</w:t>
            </w:r>
          </w:p>
        </w:tc>
        <w:tc>
          <w:tcPr>
            <w:tcW w:type="dxa" w:w="21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辨识方法</w:t>
            </w:r>
          </w:p>
        </w:tc>
        <w:tc>
          <w:tcPr>
            <w:tcW w:type="dxa" w:w="299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主要依据</w:t>
            </w:r>
          </w:p>
        </w:tc>
        <w:tc>
          <w:tcPr>
            <w:tcW w:type="dxa" w:w="239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输出结果</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总平面布置</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安全检查表（SCL）</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50187、GB 50016、GB 50067</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总平面布置安全性检查结论</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生产工艺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预先危险性分析（PHA）</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GB/T 13861、GB 6441-2025</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事故类型、触发条件与危险等级</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设备设施</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安全检查表（SCL）</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设备安全规程、GB/T 15706</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设备危险部位与防护要求</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原辅材料</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危险化学品辨识与分级</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18218、GB 30000 系列</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危险特性与重大危险源辨识结论</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作业环境</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作业条件危险性评价（LEC）</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GB/T 13861、GBZ 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危险有害因素分布与作业风险等级</w:t>
            </w:r>
          </w:p>
        </w:tc>
      </w:tr>
    </w:tbl>
    <w:p>
      <w:pPr>
        <w:keepNext/>
        <w:spacing w:before="0" w:after="0" w:lineRule="exact" w:line="540"/>
        <w:ind w:firstLine="0"/>
        <w:jc w:val="center"/>
      </w:pPr>
      <w:r>
        <w:rPr>
          <w:rFonts w:ascii="宋体" w:hAnsi="宋体" w:eastAsia="宋体" w:cs="宋体" w:hint="eastAsia"/>
          <w:b w:val="0"/>
          <w:i w:val="0"/>
          <w:sz w:val="28"/>
        </w:rPr>
        <w:t>表3-1-2 主要原辅材料危险特性表</w:t>
      </w:r>
    </w:p>
    <w:tbl>
      <w:tblPr>
        <w:tblW w:w="9213" w:type="dxa"/>
        <w:jc w:val="center"/>
        <w:tblInd w:w="0" w:type="dxa"/>
        <w:tblLayout w:type="fixed"/>
        <w:tblCellMar>
          <w:top w:w="0" w:type="dxa"/>
          <w:left w:w="108" w:type="dxa"/>
          <w:bottom w:w="0" w:type="dxa"/>
          <w:right w:w="108" w:type="dxa"/>
        </w:tblCellMar>
      </w:tblPr>
      <w:tblGrid>
        <w:gridCol w:w="629"/>
        <w:gridCol w:w="1208"/>
        <w:gridCol w:w="956"/>
        <w:gridCol w:w="1007"/>
        <w:gridCol w:w="629"/>
        <w:gridCol w:w="1259"/>
        <w:gridCol w:w="1460"/>
        <w:gridCol w:w="1007"/>
        <w:gridCol w:w="1057"/>
      </w:tblGrid>
      <w:tr>
        <w:trPr>
          <w:tblHeader w:val="true"/>
          <w:cantSplit w:val="true"/>
          <w:trHeight w:val="482" w:hRule="atLeast"/>
        </w:trPr>
        <w:tc>
          <w:tcPr>
            <w:tcW w:type="dxa" w:w="62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2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名称</w:t>
            </w:r>
          </w:p>
        </w:tc>
        <w:tc>
          <w:tcPr>
            <w:tcW w:type="dxa" w:w="95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年用量</w:t>
            </w:r>
          </w:p>
        </w:tc>
        <w:tc>
          <w:tcPr>
            <w:tcW w:type="dxa" w:w="100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最大贮量</w:t>
            </w:r>
          </w:p>
        </w:tc>
        <w:tc>
          <w:tcPr>
            <w:tcW w:type="dxa" w:w="62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125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危险特性</w:t>
            </w:r>
          </w:p>
        </w:tc>
        <w:tc>
          <w:tcPr>
            <w:tcW w:type="dxa" w:w="14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可能引发事故</w:t>
            </w:r>
          </w:p>
        </w:tc>
        <w:tc>
          <w:tcPr>
            <w:tcW w:type="dxa" w:w="100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储存位置</w:t>
            </w:r>
          </w:p>
        </w:tc>
        <w:tc>
          <w:tcPr>
            <w:tcW w:type="dxa" w:w="105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800</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12</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t</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二氧化碳气瓶</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600</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瓶</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润滑油</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0.5</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t</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可燃液体（丙类）</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火灾、中毒</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原料库</w:t>
            </w:r>
          </w:p>
        </w:tc>
        <w:tc>
          <w:tcPr>
            <w:tcW w:type="dxa" w:w="102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表3-1-3 主要物料储存与使用场所分布表</w:t>
      </w:r>
    </w:p>
    <w:tbl>
      <w:tblPr>
        <w:tblW w:w="9213" w:type="dxa"/>
        <w:jc w:val="center"/>
        <w:tblInd w:w="0" w:type="dxa"/>
        <w:tblLayout w:type="fixed"/>
        <w:tblCellMar>
          <w:top w:w="0" w:type="dxa"/>
          <w:left w:w="108" w:type="dxa"/>
          <w:bottom w:w="0" w:type="dxa"/>
          <w:right w:w="108" w:type="dxa"/>
        </w:tblCellMar>
      </w:tblPr>
      <w:tblGrid>
        <w:gridCol w:w="704"/>
        <w:gridCol w:w="1690"/>
        <w:gridCol w:w="1240"/>
        <w:gridCol w:w="1465"/>
        <w:gridCol w:w="1465"/>
        <w:gridCol w:w="1014"/>
        <w:gridCol w:w="1634"/>
      </w:tblGrid>
      <w:tr>
        <w:trPr>
          <w:tblHeader w:val="true"/>
          <w:cantSplit w:val="true"/>
          <w:trHeight w:val="482" w:hRule="atLeast"/>
        </w:trPr>
        <w:tc>
          <w:tcPr>
            <w:tcW w:type="dxa" w:w="7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69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物料名称</w:t>
            </w:r>
          </w:p>
        </w:tc>
        <w:tc>
          <w:tcPr>
            <w:tcW w:type="dxa" w:w="12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储存方式</w:t>
            </w:r>
          </w:p>
        </w:tc>
        <w:tc>
          <w:tcPr>
            <w:tcW w:type="dxa" w:w="146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储存位置</w:t>
            </w:r>
          </w:p>
        </w:tc>
        <w:tc>
          <w:tcPr>
            <w:tcW w:type="dxa" w:w="146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使用工序</w:t>
            </w:r>
          </w:p>
        </w:tc>
        <w:tc>
          <w:tcPr>
            <w:tcW w:type="dxa" w:w="101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最大贮量</w:t>
            </w:r>
          </w:p>
        </w:tc>
        <w:tc>
          <w:tcPr>
            <w:tcW w:type="dxa" w:w="163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二氧化碳气瓶</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润滑油</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原料库</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0.5</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表3-1-4 氧的理化性质和危险特性表</w:t>
      </w:r>
    </w:p>
    <w:tbl>
      <w:tblPr>
        <w:tblW w:w="9213" w:type="dxa"/>
        <w:jc w:val="center"/>
        <w:tblInd w:w="0" w:type="dxa"/>
        <w:tblLayout w:type="fixed"/>
        <w:tblCellMar>
          <w:top w:w="0" w:type="dxa"/>
          <w:left w:w="108" w:type="dxa"/>
          <w:bottom w:w="0" w:type="dxa"/>
          <w:right w:w="108" w:type="dxa"/>
        </w:tblCellMar>
      </w:tblPr>
      <w:tblGrid>
        <w:gridCol w:w="927"/>
        <w:gridCol w:w="1417"/>
        <w:gridCol w:w="2726"/>
        <w:gridCol w:w="1417"/>
        <w:gridCol w:w="2726"/>
      </w:tblGrid>
      <w:tr>
        <w:trPr>
          <w:tblHeader w:val="true"/>
          <w:cantSplit w:val="true"/>
          <w:trHeight w:val="482" w:hRule="atLeast"/>
        </w:trPr>
        <w:tc>
          <w:tcPr>
            <w:tcW w:type="dxa" w:w="9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　　别</w:t>
            </w:r>
          </w:p>
        </w:tc>
        <w:tc>
          <w:tcPr>
            <w:tcW w:type="dxa" w:w="14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项　目</w:t>
            </w:r>
          </w:p>
        </w:tc>
        <w:tc>
          <w:tcPr>
            <w:tcW w:type="dxa" w:w="27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内　　容</w:t>
            </w:r>
          </w:p>
        </w:tc>
        <w:tc>
          <w:tcPr>
            <w:tcW w:type="dxa" w:w="14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项　目</w:t>
            </w:r>
          </w:p>
        </w:tc>
        <w:tc>
          <w:tcPr>
            <w:tcW w:type="dxa" w:w="27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内　　容</w:t>
            </w: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标　识</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中文名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英文名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Oxygen</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CAS号</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7782-44-7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UN编号</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1072</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分子式</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O2</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相对分子质量</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32.00</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危险性类别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第2.2类 非易燃无毒气体（氧化性气体）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化学类别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非金属单质</w:t>
            </w: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理化特性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外观与性状</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无色无臭气体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熔点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-218.8℃</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沸点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-183.1℃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闪点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无意义（助燃气体）</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引燃温度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不适用（本身不燃）</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爆炸极限</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不适用（助燃气体）</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饱和蒸气压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506.62kPa（-164℃）</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相对密度（水=1）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1.14（-186℃）</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相对蒸气密度（空气=1）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1.11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溶解性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溶于水、乙醇</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燃烧热</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不适用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临界温度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-118.4℃</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临界压力</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5.08MPa</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稳定性</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稳定</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聚合危害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不聚合</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禁忌物</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易燃或可燃物、活性金属粉末、乙炔、油脂</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燃烧产物：无（本身不燃，助燃）</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危险特性</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危险特性：是易燃物、可燃物燃烧爆炸的基本要素之一，能氧化大多数活性物质。与易燃物（如乙炔、甲烷等）形成有爆炸性的混合物。氧气钢瓶、管道、阀门及减压器等若被油脂污染，在高压氧气流冲击下可发生剧烈氧化反应，引起燃烧甚至爆炸。液氧与可燃物接触易引起燃烧爆炸，液氧可致冻伤。氧气比空气重，泄漏后易在低洼处积聚，使局部环境氧含量升高，导致可燃物更易点燃、燃烧速度显著加快，衣物和头发等在多氧环境中会迅速燃烧。氧气钢瓶受高温烘烤或剧烈碰撞时，瓶内压力升高，存在物理爆炸危险。</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健康危害</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健康危害：常压下氧浓度超过40%时，有可能发生氧中毒。吸入40%～60%的氧时，出现胸骨后不适感、轻咳，进而胸闷、胸骨后烧灼感和呼吸困难，咳嗽加剧；严重时可发生肺水肿，甚至窒息。吸入氧浓度在80%以上时，出现面部肌肉抽动、面色苍白、眩晕、心动过速、虚脱，继而全身强直性抽搐、昏迷、呼吸衰竭而死亡。皮肤接触液氧可致严重冻伤，表现为皮肤苍白、冰冷、失去知觉，组织坏死。长期吸入高浓度氧还可引起眼晶状体后纤维增生，尤其对新生儿危害更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防护措施</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工程控制与防护：工程控制：密闭操作，提供良好的自然通风条件；氧气管道、阀门、仪表严格禁油，与可燃气体管道分沟敷设或保持安全距离；氧气使用场所设置氧含量监测和强制通风。</w:t>
              <w:br/>
              <w:t>呼吸系统防护：一般不需要特殊防护；高浓度接触时可佩戴自吸过滤式防毒面具或供气式呼吸器。</w:t>
              <w:br/>
              <w:t>眼睛防护：戴化学安全防护眼镜，接触液氧时戴防冻护目镜或面罩。</w:t>
              <w:br/>
              <w:t>身体防护：穿一般作业工作服或防静电棉质工作服，严禁油脂污染；接触液氧时穿防寒服。</w:t>
              <w:br/>
              <w:t>手防护：戴一般作业防护手套；接触液氧时戴防冻手套。</w:t>
              <w:br/>
              <w:t>其他防护：工作场所严禁烟火，严禁油脂、酒精、溶剂等与氧气接触；操作人员应穿不产生静电的服装，禁止用压缩空气吹扫氧气管道。</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灭火方法</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灭火方法：本品不燃。根据着火原因选择适当灭火剂灭火。消防人员须佩戴防毒面具、穿全身消防服，在上风向灭火。尽可能将容器从火场移至空旷处，喷水保持火场容器冷却，直至灭火结束。若氧气钢瓶受热或火焰包围，应立即疏散人员并设置警戒，防止钢瓶超压爆炸。</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急　救</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急救措施：皮肤接触（冻伤）：迅速脱离现场，脱去污染衣物，用温水（不超过40℃）复温，不要揉搓，及时就医。</w:t>
              <w:br/>
              <w:t>眼睛接触：提起眼睑，用流动清水或生理盐水冲洗至少15分钟，及时就医。</w:t>
              <w:br/>
              <w:t>吸入：迅速脱离现场至空气新鲜处，保持呼吸道通畅；如呼吸困难给输氧，如呼吸停止立即进行人工呼吸，并立即就医。氧中毒者应停止吸氧并给予对症治疗。</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泄漏应急处理</w:t>
            </w: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泄漏应急处理：迅速撤离泄漏污染区人员至上风处并隔离，严格限制出入。应急处理人员戴自给正压式呼吸器，穿一般作业工作服。避免与可燃物或易燃物接触，切断泄漏源，合理通风加速扩散。漏气容器妥善处理，修复、检验后再用。液氧泄漏时应防止其与可燃物、油脂接触，并用干砂、蛭石等不燃材料围堵，严禁用易燃材料（如锯末、棉纱）吸收。</w:t>
            </w: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操作与储存</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操作注意事项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操作人员必须经过专门培训，严格遵守操作规程，熟练掌握操作技能。密闭操作，提供良好的自然通风条件，工作场所设置氧含量监测报警和事故通风。严禁油脂、酒精、溶剂等与氧气接触，操作人员不得穿沾有油脂的工作服和手套。氧气管道、阀门、仪表安装前必须脱脂，使用中定期检查，严禁用压缩空气吹扫氧气管道。开关氧气阀门应缓慢进行，禁止敲击、带压修理和紧固。氧气瓶应直立使用并可靠固定，与明火、热源保持安全距离，瓶内气体不得用尽，必须留有余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储存安全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储存于阴凉、通风的专用库房，远离火种、热源，库温不宜超过30℃。应与易（可）燃物、活性金属粉末、油脂等分开存放，切忌混储，库房内严禁油脂污染。氧气钢瓶应直立存放并可靠固定，空瓶与实瓶分区，瓶帽、防震圈齐全；储区应备有泄漏应急处理设备和消防器材，设置明显的禁火、禁油标志。氧气管道应采用专用管材，安装后进行脱脂处理，并设置止回阀、阻火器和放散装置。</w:t>
            </w: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7348"/>
            <w:vAlign w:val="center"/>
            <w:gridSpan w:val="4"/>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left"/>
            </w:pPr>
            <w:r>
              <w:rPr>
                <w:rFonts w:ascii="宋体" w:hAnsi="宋体" w:eastAsia="宋体" w:cs="宋体" w:hint="eastAsia"/>
                <w:b w:val="0"/>
                <w:i w:val="0"/>
                <w:sz w:val="21"/>
              </w:rPr>
              <w:t>运输安全：氧气钢瓶运输时应戴好瓶帽，轻装轻卸，严禁抛、滑、滚、碰。运输车辆应专用，不得与油脂、易燃物、可燃物混装混运，并配备消防器材。夏季早晚运输，防止日光曝晒；公路运输按规定路线行驶，勿在居民区和人口稠密区停留。装卸时严禁使用电磁起重机和金属链绳，防止钢瓶跌落和碰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其　他</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职业接触限值</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中国未制定 PC-TWA、PC-STEL 及 MAC。</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废弃处置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left"/>
            </w:pPr>
            <w:r>
              <w:rPr>
                <w:rFonts w:ascii="宋体" w:hAnsi="宋体" w:eastAsia="宋体" w:cs="宋体" w:hint="eastAsia"/>
                <w:b w:val="0"/>
                <w:i w:val="0"/>
                <w:sz w:val="21"/>
              </w:rPr>
              <w:t>允许气体安全地扩散到大气中。</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3.2生产工艺及设备设施</w:t>
      </w:r>
    </w:p>
    <w:p>
      <w:pPr>
        <w:spacing w:lineRule="exact" w:line="540" w:before="0" w:after="0"/>
        <w:ind w:firstLineChars="200" w:firstLine="280"/>
        <w:jc w:val="both"/>
      </w:pPr>
      <w:r>
        <w:rPr>
          <w:rFonts w:ascii="宋体" w:hAnsi="宋体" w:eastAsia="宋体" w:cs="宋体" w:hint="eastAsia"/>
          <w:b w:val="0"/>
          <w:i w:val="0"/>
          <w:sz w:val="28"/>
        </w:rPr>
        <w:t>（1）工艺过程。本项目生产工艺为：原料入库→下料→机加工→焊接→装配→喷涂→检验入库。</w:t>
      </w:r>
    </w:p>
    <w:p>
      <w:pPr>
        <w:spacing w:lineRule="exact" w:line="540" w:before="0" w:after="0"/>
        <w:ind w:firstLineChars="200" w:firstLine="280"/>
        <w:jc w:val="both"/>
      </w:pPr>
      <w:r>
        <w:rPr>
          <w:rFonts w:ascii="宋体" w:hAnsi="宋体" w:eastAsia="宋体" w:cs="宋体" w:hint="eastAsia"/>
          <w:b w:val="0"/>
          <w:i w:val="0"/>
          <w:sz w:val="28"/>
        </w:rPr>
        <w:t>按工序划分，共 7 道主要工序：1）原料入库；2）下料；3）机加工；4）焊接；5）装配；6）喷涂；7）检验入库。</w:t>
      </w:r>
    </w:p>
    <w:p>
      <w:pPr>
        <w:spacing w:lineRule="exact" w:line="540" w:before="0" w:after="0"/>
        <w:ind w:firstLineChars="200" w:firstLine="280"/>
        <w:jc w:val="both"/>
      </w:pPr>
      <w:r>
        <w:rPr>
          <w:rFonts w:ascii="宋体" w:hAnsi="宋体" w:eastAsia="宋体" w:cs="宋体" w:hint="eastAsia"/>
          <w:b w:val="0"/>
          <w:i w:val="0"/>
          <w:sz w:val="28"/>
        </w:rPr>
        <w:t>（2）工艺条件。各工序的温度、压力、速度、批量等参数</w:t>
      </w:r>
      <w:r>
        <w:rPr>
          <w:rFonts w:ascii="宋体" w:hAnsi="宋体" w:eastAsia="宋体" w:cs="宋体" w:hint="eastAsia"/>
          <w:b w:val="0"/>
          <w:i w:val="0"/>
          <w:sz w:val="28"/>
          <w:color w:val="C00000"/>
        </w:rPr>
        <w:t>【待用户填：关键工艺参数】</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（3）设备设施危险有害因素。开料、封边、钻孔、砂光等木工机械存在机械致害、物体打击与噪声危害，加工产生的木粉尘具有粉尘爆炸与火灾风险；叉车等厂内运输车辆存在厂（场）内车辆致害风险。</w:t>
      </w:r>
    </w:p>
    <w:p>
      <w:pPr>
        <w:spacing w:lineRule="exact" w:line="540" w:before="0" w:after="0"/>
        <w:ind w:firstLineChars="200" w:firstLine="280"/>
        <w:jc w:val="both"/>
      </w:pPr>
      <w:r>
        <w:rPr>
          <w:rFonts w:ascii="宋体" w:hAnsi="宋体" w:eastAsia="宋体" w:cs="宋体" w:hint="eastAsia"/>
          <w:b w:val="0"/>
          <w:i w:val="0"/>
          <w:sz w:val="28"/>
        </w:rPr>
        <w:t>（4）有限空间。本项目有限空间</w:t>
      </w:r>
      <w:r>
        <w:rPr>
          <w:rFonts w:ascii="宋体" w:hAnsi="宋体" w:eastAsia="宋体" w:cs="宋体" w:hint="eastAsia"/>
          <w:b w:val="0"/>
          <w:i w:val="0"/>
          <w:sz w:val="28"/>
          <w:color w:val="C00000"/>
        </w:rPr>
        <w:t>【待用户填：有限空间名称；如不涉及请注明】</w:t>
      </w:r>
      <w:r>
        <w:rPr>
          <w:rFonts w:ascii="宋体" w:hAnsi="宋体" w:eastAsia="宋体" w:cs="宋体" w:hint="eastAsia"/>
          <w:b w:val="0"/>
          <w:i w:val="0"/>
          <w:sz w:val="28"/>
        </w:rPr>
        <w:t>。</w:t>
      </w:r>
    </w:p>
    <w:p>
      <w:pPr>
        <w:keepNext/>
        <w:spacing w:before="0" w:after="0" w:lineRule="exact" w:line="540"/>
        <w:ind w:firstLine="0"/>
        <w:jc w:val="center"/>
      </w:pPr>
      <w:r>
        <w:rPr>
          <w:rFonts w:ascii="宋体" w:hAnsi="宋体" w:eastAsia="宋体" w:cs="宋体" w:hint="eastAsia"/>
          <w:b w:val="0"/>
          <w:i w:val="0"/>
          <w:sz w:val="28"/>
        </w:rPr>
        <w:t>表3-2-1 事故类型及危险程度分析表</w:t>
      </w:r>
    </w:p>
    <w:tbl>
      <w:tblPr>
        <w:tblW w:w="9213" w:type="dxa"/>
        <w:jc w:val="center"/>
        <w:tblInd w:w="0" w:type="dxa"/>
        <w:tblLayout w:type="fixed"/>
        <w:tblCellMar>
          <w:top w:w="0" w:type="dxa"/>
          <w:left w:w="108" w:type="dxa"/>
          <w:bottom w:w="0" w:type="dxa"/>
          <w:right w:w="108" w:type="dxa"/>
        </w:tblCellMar>
      </w:tblPr>
      <w:tblGrid>
        <w:gridCol w:w="1445"/>
        <w:gridCol w:w="2649"/>
        <w:gridCol w:w="963"/>
        <w:gridCol w:w="3011"/>
        <w:gridCol w:w="1144"/>
      </w:tblGrid>
      <w:tr>
        <w:trPr>
          <w:tblHeader w:val="true"/>
          <w:cantSplit w:val="true"/>
          <w:trHeight w:val="482" w:hRule="atLeast"/>
        </w:trPr>
        <w:tc>
          <w:tcPr>
            <w:tcW w:type="dxa" w:w="14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事故类型</w:t>
            </w:r>
          </w:p>
        </w:tc>
        <w:tc>
          <w:tcPr>
            <w:tcW w:type="dxa" w:w="264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可能发生场所</w:t>
            </w:r>
          </w:p>
        </w:tc>
        <w:tc>
          <w:tcPr>
            <w:tcW w:type="dxa" w:w="9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影响范围</w:t>
            </w:r>
          </w:p>
        </w:tc>
        <w:tc>
          <w:tcPr>
            <w:tcW w:type="dxa" w:w="301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主要防范措施</w:t>
            </w:r>
          </w:p>
        </w:tc>
        <w:tc>
          <w:tcPr>
            <w:tcW w:type="dxa" w:w="114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危险程度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粉尘爆炸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除尘系统防爆、控制粉尘云与积尘、采用防爆电气并设置泄爆与探测报警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重大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火灾</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生产车间、原料库、成品库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控制可燃物、消除点火源、设置灭火器材与火灾报警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重大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灼烫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隔热保温、防喷溅、佩戴耐高温防护用品</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较大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触电</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保护接地/接零、漏电保护、电气检修挂牌上锁</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较大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物体打击</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生产车间、原料库、成品库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设置防护棚、规范堆放、进入危险区佩戴安全帽</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较大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容器爆炸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压力容器定期检验、设置安全阀与压力监视、按规程操作</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重大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起重致害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起重机械定期检验、持证操作、吊装区域警戒</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较大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厂（场）内车辆致害</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限速、分区行驶、人车分流、装卸区警戒</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较大</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机械致害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局部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防护罩/防护栏、急停装置、联锁与安全操作规程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较大</w:t>
            </w:r>
          </w:p>
        </w:tc>
      </w:tr>
    </w:tbl>
    <w:p>
      <w:pPr>
        <w:keepNext/>
        <w:spacing w:before="0" w:after="0" w:lineRule="exact" w:line="540"/>
        <w:ind w:firstLine="0"/>
        <w:jc w:val="center"/>
      </w:pPr>
      <w:r>
        <w:rPr>
          <w:rFonts w:ascii="宋体" w:hAnsi="宋体" w:eastAsia="宋体" w:cs="宋体" w:hint="eastAsia"/>
          <w:b w:val="0"/>
          <w:i w:val="0"/>
          <w:sz w:val="28"/>
        </w:rPr>
        <w:t>表3-2-2 给排水系统系统主要危险有害因素分析表</w:t>
      </w:r>
    </w:p>
    <w:tbl>
      <w:tblPr>
        <w:tblW w:w="9213" w:type="dxa"/>
        <w:jc w:val="center"/>
        <w:tblInd w:w="0" w:type="dxa"/>
        <w:tblLayout w:type="fixed"/>
        <w:tblCellMar>
          <w:top w:w="0" w:type="dxa"/>
          <w:left w:w="108" w:type="dxa"/>
          <w:bottom w:w="0" w:type="dxa"/>
          <w:right w:w="108" w:type="dxa"/>
        </w:tblCellMar>
      </w:tblPr>
      <w:tblGrid>
        <w:gridCol w:w="755"/>
        <w:gridCol w:w="1812"/>
        <w:gridCol w:w="2779"/>
        <w:gridCol w:w="3866"/>
      </w:tblGrid>
      <w:tr>
        <w:trPr>
          <w:tblHeader w:val="true"/>
          <w:cantSplit w:val="true"/>
          <w:trHeight w:val="482" w:hRule="atLeast"/>
        </w:trPr>
        <w:tc>
          <w:tcPr>
            <w:tcW w:type="dxa" w:w="7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8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事故类别</w:t>
            </w:r>
          </w:p>
        </w:tc>
        <w:tc>
          <w:tcPr>
            <w:tcW w:type="dxa" w:w="27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危险有害因素存在部位或装置</w:t>
            </w:r>
          </w:p>
        </w:tc>
        <w:tc>
          <w:tcPr>
            <w:tcW w:type="dxa" w:w="386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危险有害因素分析</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淹溺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消防水池、水箱、冷却塔及污水处理设施</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水池、水箱未设护栏或盖板，检修、清淤作业时人员失足落水，可能发生淹溺。</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中毒和窒息</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地埋式一体化处置装置、污水检查井</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有限空间内硫化氢、甲烷等气体积聚或氧含量不足，未检测、未通风盲目进入可致中毒、窒息。</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触电</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水泵、潜污泵及潮湿场所配电箱</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潮湿环境电气绝缘下降、接地不良或漏电保护失效，人员接触设备外壳可能触电。</w:t>
            </w:r>
          </w:p>
        </w:tc>
      </w:tr>
    </w:tbl>
    <w:p>
      <w:pPr>
        <w:keepNext/>
        <w:spacing w:before="0" w:after="0" w:lineRule="exact" w:line="540"/>
        <w:ind w:firstLine="0"/>
        <w:jc w:val="center"/>
      </w:pPr>
      <w:r>
        <w:rPr>
          <w:rFonts w:ascii="宋体" w:hAnsi="宋体" w:eastAsia="宋体" w:cs="宋体" w:hint="eastAsia"/>
          <w:b w:val="0"/>
          <w:i w:val="0"/>
          <w:sz w:val="28"/>
        </w:rPr>
        <w:t>表3-2-3 工艺过程危险有害因素辨识表</w:t>
      </w:r>
    </w:p>
    <w:tbl>
      <w:tblPr>
        <w:tblW w:w="9213" w:type="dxa"/>
        <w:jc w:val="center"/>
        <w:tblInd w:w="0" w:type="dxa"/>
        <w:tblLayout w:type="fixed"/>
        <w:tblCellMar>
          <w:top w:w="0" w:type="dxa"/>
          <w:left w:w="108" w:type="dxa"/>
          <w:bottom w:w="0" w:type="dxa"/>
          <w:right w:w="108" w:type="dxa"/>
        </w:tblCellMar>
      </w:tblPr>
      <w:tblGrid>
        <w:gridCol w:w="668"/>
        <w:gridCol w:w="2670"/>
        <w:gridCol w:w="2457"/>
        <w:gridCol w:w="3418"/>
      </w:tblGrid>
      <w:tr>
        <w:trPr>
          <w:tblHeader w:val="true"/>
          <w:cantSplit w:val="true"/>
          <w:trHeight w:val="482" w:hRule="atLeast"/>
        </w:trPr>
        <w:tc>
          <w:tcPr>
            <w:tcW w:type="dxa" w:w="66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6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工序名称</w:t>
            </w:r>
          </w:p>
        </w:tc>
        <w:tc>
          <w:tcPr>
            <w:tcW w:type="dxa" w:w="245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可能事故类型</w:t>
            </w:r>
          </w:p>
        </w:tc>
        <w:tc>
          <w:tcPr>
            <w:tcW w:type="dxa" w:w="341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主要防范措施方向</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原料入库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下料</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机加工</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焊接</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装配</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喷涂</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作业许可、防护装置、监测报警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检验入库</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作业许可、防护装置、监测报警</w:t>
            </w:r>
          </w:p>
        </w:tc>
      </w:tr>
    </w:tbl>
    <w:p>
      <w:pPr>
        <w:keepNext/>
        <w:spacing w:before="0" w:after="0" w:lineRule="exact" w:line="540"/>
        <w:ind w:firstLine="0"/>
        <w:jc w:val="center"/>
      </w:pPr>
      <w:r>
        <w:rPr>
          <w:rFonts w:ascii="宋体" w:hAnsi="宋体" w:eastAsia="宋体" w:cs="宋体" w:hint="eastAsia"/>
          <w:b w:val="0"/>
          <w:i w:val="0"/>
          <w:sz w:val="28"/>
        </w:rPr>
        <w:t>表3-2-4 主要工序安全控制参数表</w:t>
      </w:r>
    </w:p>
    <w:tbl>
      <w:tblPr>
        <w:tblW w:w="9213" w:type="dxa"/>
        <w:jc w:val="center"/>
        <w:tblInd w:w="0" w:type="dxa"/>
        <w:tblLayout w:type="fixed"/>
        <w:tblCellMar>
          <w:top w:w="0" w:type="dxa"/>
          <w:left w:w="108" w:type="dxa"/>
          <w:bottom w:w="0" w:type="dxa"/>
          <w:right w:w="108" w:type="dxa"/>
        </w:tblCellMar>
      </w:tblPr>
      <w:tblGrid>
        <w:gridCol w:w="713"/>
        <w:gridCol w:w="1711"/>
        <w:gridCol w:w="1939"/>
        <w:gridCol w:w="1825"/>
        <w:gridCol w:w="1369"/>
        <w:gridCol w:w="1654"/>
      </w:tblGrid>
      <w:tr>
        <w:trPr>
          <w:tblHeader w:val="true"/>
          <w:cantSplit w:val="true"/>
          <w:trHeight w:val="482" w:hRule="atLeast"/>
        </w:trPr>
        <w:tc>
          <w:tcPr>
            <w:tcW w:type="dxa" w:w="71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71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工序名称</w:t>
            </w:r>
          </w:p>
        </w:tc>
        <w:tc>
          <w:tcPr>
            <w:tcW w:type="dxa" w:w="193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主要设备</w:t>
            </w:r>
          </w:p>
        </w:tc>
        <w:tc>
          <w:tcPr>
            <w:tcW w:type="dxa" w:w="182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关键控制参数</w:t>
            </w:r>
          </w:p>
        </w:tc>
        <w:tc>
          <w:tcPr>
            <w:tcW w:type="dxa" w:w="136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控制方式</w:t>
            </w:r>
          </w:p>
        </w:tc>
        <w:tc>
          <w:tcPr>
            <w:tcW w:type="dxa" w:w="16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安全联锁要求</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原料入库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下料</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机加工</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焊接</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装配</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喷涂</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超限报警并联锁停机</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检验入库</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就地+集中监控</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超限报警并联锁停机</w:t>
            </w:r>
          </w:p>
        </w:tc>
      </w:tr>
    </w:tbl>
    <w:p>
      <w:pPr>
        <w:keepNext/>
        <w:spacing w:before="0" w:after="0" w:lineRule="exact" w:line="540"/>
        <w:ind w:firstLine="0"/>
        <w:jc w:val="center"/>
      </w:pPr>
      <w:r>
        <w:rPr>
          <w:rFonts w:ascii="宋体" w:hAnsi="宋体" w:eastAsia="宋体" w:cs="宋体" w:hint="eastAsia"/>
          <w:b w:val="0"/>
          <w:i w:val="0"/>
          <w:sz w:val="28"/>
        </w:rPr>
        <w:t>表3-2-5 设备设施危险有害因素辨识表</w:t>
      </w:r>
    </w:p>
    <w:tbl>
      <w:tblPr>
        <w:tblW w:w="9213" w:type="dxa"/>
        <w:jc w:val="center"/>
        <w:tblInd w:w="0" w:type="dxa"/>
        <w:tblLayout w:type="fixed"/>
        <w:tblCellMar>
          <w:top w:w="0" w:type="dxa"/>
          <w:left w:w="108" w:type="dxa"/>
          <w:bottom w:w="0" w:type="dxa"/>
          <w:right w:w="108" w:type="dxa"/>
        </w:tblCellMar>
      </w:tblPr>
      <w:tblGrid>
        <w:gridCol w:w="692"/>
        <w:gridCol w:w="2213"/>
        <w:gridCol w:w="1771"/>
        <w:gridCol w:w="2103"/>
        <w:gridCol w:w="2435"/>
      </w:tblGrid>
      <w:tr>
        <w:trPr>
          <w:tblHeader w:val="true"/>
          <w:cantSplit w:val="true"/>
          <w:trHeight w:val="482" w:hRule="atLeast"/>
        </w:trPr>
        <w:tc>
          <w:tcPr>
            <w:tcW w:type="dxa" w:w="6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21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设备名称</w:t>
            </w:r>
          </w:p>
        </w:tc>
        <w:tc>
          <w:tcPr>
            <w:tcW w:type="dxa" w:w="177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所在部位</w:t>
            </w:r>
          </w:p>
        </w:tc>
        <w:tc>
          <w:tcPr>
            <w:tcW w:type="dxa" w:w="210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可能事故类型</w:t>
            </w:r>
          </w:p>
        </w:tc>
        <w:tc>
          <w:tcPr>
            <w:tcW w:type="dxa" w:w="243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主要防范措施方向</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铣床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锯床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电焊机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触电、灼烫、火灾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喷涂设备</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桥式起重机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起重致害、物体打击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防护罩、联锁、接地保护</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叉车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厂（场）内车辆致害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防护罩、联锁、接地保护</w:t>
            </w:r>
          </w:p>
        </w:tc>
      </w:tr>
    </w:tbl>
    <w:p>
      <w:pPr>
        <w:keepNext/>
        <w:spacing w:before="0" w:after="0" w:lineRule="exact" w:line="540"/>
        <w:ind w:firstLine="0"/>
        <w:jc w:val="center"/>
      </w:pPr>
      <w:r>
        <w:rPr>
          <w:rFonts w:ascii="宋体" w:hAnsi="宋体" w:eastAsia="宋体" w:cs="宋体" w:hint="eastAsia"/>
          <w:b w:val="0"/>
          <w:i w:val="0"/>
          <w:sz w:val="28"/>
        </w:rPr>
        <w:t>表3-2-6 主要设备危险部位及防护要求表</w:t>
      </w:r>
    </w:p>
    <w:tbl>
      <w:tblPr>
        <w:tblW w:w="9213" w:type="dxa"/>
        <w:jc w:val="center"/>
        <w:tblInd w:w="0" w:type="dxa"/>
        <w:tblLayout w:type="fixed"/>
        <w:tblCellMar>
          <w:top w:w="0" w:type="dxa"/>
          <w:left w:w="108" w:type="dxa"/>
          <w:bottom w:w="0" w:type="dxa"/>
          <w:right w:w="108" w:type="dxa"/>
        </w:tblCellMar>
      </w:tblPr>
      <w:tblGrid>
        <w:gridCol w:w="704"/>
        <w:gridCol w:w="1803"/>
        <w:gridCol w:w="1578"/>
        <w:gridCol w:w="1578"/>
        <w:gridCol w:w="1916"/>
        <w:gridCol w:w="1634"/>
      </w:tblGrid>
      <w:tr>
        <w:trPr>
          <w:tblHeader w:val="true"/>
          <w:cantSplit w:val="true"/>
          <w:trHeight w:val="482" w:hRule="atLeast"/>
        </w:trPr>
        <w:tc>
          <w:tcPr>
            <w:tcW w:type="dxa" w:w="7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80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设备类别</w:t>
            </w:r>
          </w:p>
        </w:tc>
        <w:tc>
          <w:tcPr>
            <w:tcW w:type="dxa" w:w="157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危险部位</w:t>
            </w:r>
          </w:p>
        </w:tc>
        <w:tc>
          <w:tcPr>
            <w:tcW w:type="dxa" w:w="157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可能事故</w:t>
            </w:r>
          </w:p>
        </w:tc>
        <w:tc>
          <w:tcPr>
            <w:tcW w:type="dxa" w:w="19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防护装置</w:t>
            </w:r>
          </w:p>
        </w:tc>
        <w:tc>
          <w:tcPr>
            <w:tcW w:type="dxa" w:w="163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检查要点</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输送与搬运设备</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起重致害、物体打击、厂（场）内车辆致害</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防护罩、联锁装置与急停装置、起重量限制器、行程限位器</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铣床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锯床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电焊机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触电、灼烫、火灾</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保护接地与漏电保护、灭火器材与隔热防护</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喷涂设备</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机械致害、触电</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防护罩、联锁装置与急停装置、保护接地与漏电保护</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3.3建筑及场地布置</w:t>
      </w:r>
    </w:p>
    <w:p>
      <w:pPr>
        <w:spacing w:lineRule="exact" w:line="540" w:before="0" w:after="0"/>
        <w:ind w:firstLineChars="200" w:firstLine="280"/>
        <w:jc w:val="both"/>
      </w:pPr>
      <w:r>
        <w:rPr>
          <w:rFonts w:ascii="宋体" w:hAnsi="宋体" w:eastAsia="宋体" w:cs="宋体" w:hint="eastAsia"/>
          <w:b w:val="0"/>
          <w:i w:val="0"/>
          <w:sz w:val="28"/>
        </w:rPr>
        <w:t>（1）建构筑物。本项目主要建构筑物为：生产车间，用途 下料、机加工、焊接、装配、喷涂，面积 6000 ㎡，层数 1 层，高度 12 m，结构 钢结构，火灾危险性 丙类，耐火等级 二级；原料库，用途 钢材存放，面积 600 ㎡，层数 1 层，高度 8 m，结构 钢结构，火灾危险性 丙类，耐火等级 二级；成品库，用途 成品存放，面积 500 ㎡，层数 1 层，高度 8 m，结构 钢结构，火灾危险性 丙类，耐火等级 二级；综合办公楼，用途 办公、会议、值班，面积 500 ㎡，层数 3 层，高度 11 m，结构 框架，火灾危险性 民用，耐火等级 二级。</w:t>
      </w:r>
    </w:p>
    <w:p>
      <w:pPr>
        <w:spacing w:lineRule="exact" w:line="540" w:before="0" w:after="0"/>
        <w:ind w:firstLineChars="200" w:firstLine="280"/>
        <w:jc w:val="both"/>
      </w:pPr>
      <w:r>
        <w:rPr>
          <w:rFonts w:ascii="宋体" w:hAnsi="宋体" w:eastAsia="宋体" w:cs="宋体" w:hint="eastAsia"/>
          <w:b w:val="0"/>
          <w:i w:val="0"/>
          <w:sz w:val="28"/>
        </w:rPr>
        <w:t>（2）防火间距。建构筑物之间的方位、实测间距与标准要求</w:t>
      </w:r>
      <w:r>
        <w:rPr>
          <w:rFonts w:ascii="宋体" w:hAnsi="宋体" w:eastAsia="宋体" w:cs="宋体" w:hint="eastAsia"/>
          <w:b w:val="0"/>
          <w:i w:val="0"/>
          <w:sz w:val="28"/>
          <w:color w:val="C00000"/>
        </w:rPr>
        <w:t>【待用户填：防火间距】</w:t>
      </w:r>
      <w:r>
        <w:rPr>
          <w:rFonts w:ascii="宋体" w:hAnsi="宋体" w:eastAsia="宋体" w:cs="宋体" w:hint="eastAsia"/>
          <w:b w:val="0"/>
          <w:i w:val="0"/>
          <w:sz w:val="28"/>
        </w:rPr>
        <w:t>；未取得实测数据前不作符合性结论。</w:t>
      </w:r>
    </w:p>
    <w:p>
      <w:pPr>
        <w:spacing w:lineRule="exact" w:line="540" w:before="0" w:after="0"/>
        <w:ind w:firstLineChars="200" w:firstLine="280"/>
        <w:jc w:val="both"/>
      </w:pPr>
      <w:r>
        <w:rPr>
          <w:rFonts w:ascii="宋体" w:hAnsi="宋体" w:eastAsia="宋体" w:cs="宋体" w:hint="eastAsia"/>
          <w:b w:val="0"/>
          <w:i w:val="0"/>
          <w:sz w:val="28"/>
        </w:rPr>
        <w:t>（3）功能分区。生产区、仓储区、办公区与辅助设施的位置关系</w:t>
      </w:r>
      <w:r>
        <w:rPr>
          <w:rFonts w:ascii="宋体" w:hAnsi="宋体" w:eastAsia="宋体" w:cs="宋体" w:hint="eastAsia"/>
          <w:b w:val="0"/>
          <w:i w:val="0"/>
          <w:sz w:val="28"/>
          <w:color w:val="C00000"/>
        </w:rPr>
        <w:t>【待用户填：功能分区】</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（4）消防车道与救援场地。车道宽度、转弯半径、回车场与登高操作场地</w:t>
      </w:r>
      <w:r>
        <w:rPr>
          <w:rFonts w:ascii="宋体" w:hAnsi="宋体" w:eastAsia="宋体" w:cs="宋体" w:hint="eastAsia"/>
          <w:b w:val="0"/>
          <w:i w:val="0"/>
          <w:sz w:val="28"/>
          <w:color w:val="C00000"/>
        </w:rPr>
        <w:t>【待用户填：消防车道与救援场地】</w:t>
      </w:r>
      <w:r>
        <w:rPr>
          <w:rFonts w:ascii="宋体" w:hAnsi="宋体" w:eastAsia="宋体" w:cs="宋体" w:hint="eastAsia"/>
          <w:b w:val="0"/>
          <w:i w:val="0"/>
          <w:sz w:val="28"/>
        </w:rPr>
        <w:t>。</w:t>
      </w:r>
    </w:p>
    <w:p>
      <w:pPr>
        <w:keepNext/>
        <w:spacing w:before="0" w:after="0" w:lineRule="exact" w:line="540"/>
        <w:ind w:firstLine="0"/>
        <w:jc w:val="center"/>
      </w:pPr>
      <w:r>
        <w:rPr>
          <w:rFonts w:ascii="宋体" w:hAnsi="宋体" w:eastAsia="宋体" w:cs="宋体" w:hint="eastAsia"/>
          <w:b w:val="0"/>
          <w:i w:val="0"/>
          <w:sz w:val="28"/>
        </w:rPr>
        <w:t>表3-3-1 建构筑物危险有害因素辨识表</w:t>
      </w:r>
    </w:p>
    <w:tbl>
      <w:tblPr>
        <w:tblW w:w="9213" w:type="dxa"/>
        <w:jc w:val="center"/>
        <w:tblInd w:w="0" w:type="dxa"/>
        <w:tblLayout w:type="fixed"/>
        <w:tblCellMar>
          <w:top w:w="0" w:type="dxa"/>
          <w:left w:w="108" w:type="dxa"/>
          <w:bottom w:w="0" w:type="dxa"/>
          <w:right w:w="108" w:type="dxa"/>
        </w:tblCellMar>
      </w:tblPr>
      <w:tblGrid>
        <w:gridCol w:w="731"/>
        <w:gridCol w:w="1989"/>
        <w:gridCol w:w="1170"/>
        <w:gridCol w:w="2106"/>
        <w:gridCol w:w="1638"/>
        <w:gridCol w:w="1579"/>
      </w:tblGrid>
      <w:tr>
        <w:trPr>
          <w:tblHeader w:val="true"/>
          <w:cantSplit w:val="true"/>
          <w:trHeight w:val="482" w:hRule="atLeast"/>
        </w:trPr>
        <w:tc>
          <w:tcPr>
            <w:tcW w:type="dxa" w:w="7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98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w:t>
            </w:r>
          </w:p>
        </w:tc>
        <w:tc>
          <w:tcPr>
            <w:tcW w:type="dxa" w:w="11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w:t>
            </w:r>
          </w:p>
        </w:tc>
        <w:tc>
          <w:tcPr>
            <w:tcW w:type="dxa" w:w="210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主要危险因素</w:t>
            </w:r>
          </w:p>
        </w:tc>
        <w:tc>
          <w:tcPr>
            <w:tcW w:type="dxa" w:w="163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可能事故</w:t>
            </w:r>
          </w:p>
        </w:tc>
        <w:tc>
          <w:tcPr>
            <w:tcW w:type="dxa" w:w="15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防控重点</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耐火等级、防火间距、安全疏散</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耐火等级、防火间距、安全疏散</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耐火等级、防火间距、安全疏散</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民用</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耐火等级、防火间距、安全疏散</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3.4自然环境及周边环境安全</w:t>
      </w:r>
    </w:p>
    <w:p>
      <w:pPr>
        <w:spacing w:lineRule="exact" w:line="540" w:before="0" w:after="0"/>
        <w:ind w:firstLineChars="200" w:firstLine="280"/>
        <w:jc w:val="both"/>
      </w:pPr>
      <w:r>
        <w:rPr>
          <w:rFonts w:ascii="宋体" w:hAnsi="宋体" w:eastAsia="宋体" w:cs="宋体" w:hint="eastAsia"/>
          <w:b w:val="0"/>
          <w:i w:val="0"/>
          <w:sz w:val="28"/>
        </w:rPr>
        <w:t>（1）自然环境。项目所在地的气象条件（气温、降水、风向、雷电等）</w:t>
      </w:r>
      <w:r>
        <w:rPr>
          <w:rFonts w:ascii="宋体" w:hAnsi="宋体" w:eastAsia="宋体" w:cs="宋体" w:hint="eastAsia"/>
          <w:b w:val="0"/>
          <w:i w:val="0"/>
          <w:sz w:val="28"/>
          <w:color w:val="C00000"/>
        </w:rPr>
        <w:t>【待用户填：气象条件】</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（2）周边环境。厂区周边相邻对象为：园区道路（道路，东侧，距离约 15 m）；相邻机械加工企业（工业企业，南侧，距离约 30 m）；村庄（居民区，北侧，距离约 420 m）。</w:t>
      </w:r>
    </w:p>
    <w:p>
      <w:pPr>
        <w:spacing w:lineRule="exact" w:line="540" w:before="0" w:after="0"/>
        <w:ind w:firstLineChars="200" w:firstLine="280"/>
        <w:jc w:val="both"/>
      </w:pPr>
      <w:r>
        <w:rPr>
          <w:rFonts w:ascii="宋体" w:hAnsi="宋体" w:eastAsia="宋体" w:cs="宋体" w:hint="eastAsia"/>
          <w:b w:val="0"/>
          <w:i w:val="0"/>
          <w:sz w:val="28"/>
        </w:rPr>
        <w:t>（3）相互影响。应重点分析周边人员密集场所、相邻工业企业在事故状态下的相互影响，以及本项目事故对周边环境的影响；具体影响范围需结合泄漏、火灾爆炸后果模拟确定，本稿不作无依据的距离结论。</w:t>
      </w:r>
    </w:p>
    <w:p>
      <w:pPr>
        <w:keepNext/>
        <w:spacing w:before="0" w:after="0" w:lineRule="exact" w:line="540"/>
        <w:ind w:firstLine="0"/>
        <w:jc w:val="center"/>
      </w:pPr>
      <w:r>
        <w:rPr>
          <w:rFonts w:ascii="宋体" w:hAnsi="宋体" w:eastAsia="宋体" w:cs="宋体" w:hint="eastAsia"/>
          <w:b w:val="0"/>
          <w:i w:val="0"/>
          <w:sz w:val="28"/>
        </w:rPr>
        <w:t>表3-4-1 周边环境一览表</w:t>
      </w:r>
    </w:p>
    <w:tbl>
      <w:tblPr>
        <w:tblW w:w="9213" w:type="dxa"/>
        <w:jc w:val="center"/>
        <w:tblInd w:w="0" w:type="dxa"/>
        <w:tblLayout w:type="fixed"/>
        <w:tblCellMar>
          <w:top w:w="0" w:type="dxa"/>
          <w:left w:w="108" w:type="dxa"/>
          <w:bottom w:w="0" w:type="dxa"/>
          <w:right w:w="108" w:type="dxa"/>
        </w:tblCellMar>
      </w:tblPr>
      <w:tblGrid>
        <w:gridCol w:w="700"/>
        <w:gridCol w:w="2352"/>
        <w:gridCol w:w="1456"/>
        <w:gridCol w:w="896"/>
        <w:gridCol w:w="1232"/>
        <w:gridCol w:w="2576"/>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3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周边设施名称</w:t>
            </w:r>
          </w:p>
        </w:tc>
        <w:tc>
          <w:tcPr>
            <w:tcW w:type="dxa" w:w="145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类型</w:t>
            </w:r>
          </w:p>
        </w:tc>
        <w:tc>
          <w:tcPr>
            <w:tcW w:type="dxa" w:w="8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方位</w:t>
            </w:r>
          </w:p>
        </w:tc>
        <w:tc>
          <w:tcPr>
            <w:tcW w:type="dxa" w:w="123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距离(m)</w:t>
            </w:r>
          </w:p>
        </w:tc>
        <w:tc>
          <w:tcPr>
            <w:tcW w:type="dxa" w:w="257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影响分析</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园区道路</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道路</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东</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按防火间距与安全防护要求控制</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相邻机械加工企业</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工业企业</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南</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30</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按防火间距与安全防护要求控制</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村庄</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居民区</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北</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420</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按防火间距与安全防护要求控制</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4建筑及场地布置与运输</w:t>
      </w:r>
    </w:p>
    <w:p>
      <w:pPr>
        <w:pStyle w:val="Heading2"/>
        <w:keepNext/>
        <w:spacing w:lineRule="exact" w:line="540" w:before="120" w:after="120"/>
        <w:ind w:firstLine="0"/>
        <w:jc w:val="both"/>
      </w:pPr>
      <w:r>
        <w:rPr>
          <w:rFonts w:ascii="楷体" w:hAnsi="楷体" w:eastAsia="楷体" w:cs="楷体" w:hint="eastAsia"/>
          <w:b w:val="0"/>
          <w:i w:val="0"/>
          <w:sz w:val="32"/>
          <w:color w:val="000000"/>
        </w:rPr>
        <w:t>4.1场地布置与运输</w:t>
      </w:r>
    </w:p>
    <w:p>
      <w:pPr>
        <w:keepNext/>
        <w:spacing w:lineRule="exact" w:line="540" w:before="156" w:after="156"/>
        <w:ind w:firstLine="0"/>
        <w:jc w:val="left"/>
        <w:outlineLvl w:val="2"/>
      </w:pPr>
      <w:r>
        <w:rPr>
          <w:rFonts w:ascii="黑体" w:hAnsi="黑体" w:eastAsia="黑体" w:cs="黑体" w:hint="eastAsia"/>
          <w:b w:val="0"/>
          <w:i w:val="0"/>
          <w:sz w:val="28"/>
          <w:color w:val="000000"/>
        </w:rPr>
        <w:t>4.1.1 总平面布置方案与功能分区</w:t>
      </w:r>
    </w:p>
    <w:p>
      <w:pPr>
        <w:spacing w:lineRule="exact" w:line="540" w:before="0" w:after="0"/>
        <w:ind w:firstLineChars="200" w:firstLine="280"/>
        <w:jc w:val="both"/>
      </w:pPr>
      <w:r>
        <w:rPr>
          <w:rFonts w:ascii="宋体" w:hAnsi="宋体" w:eastAsia="宋体" w:cs="宋体" w:hint="eastAsia"/>
          <w:b w:val="0"/>
          <w:i w:val="0"/>
          <w:sz w:val="28"/>
        </w:rPr>
        <w:t>厂区总平面按生产、仓储、办公及生活三个功能区集中布置，自北向南依次为生产区、仓储区、办公及生活区。厂界按建构筑物外轮廓、建筑外墙至消防车道边缘 5.0 m 退距及 6.0 m 环形消防车道确定，本方案厂界尺寸为 126.0 m×162.3 m，厂区用地面积 20450 ㎡，建筑物基底面积 7597 ㎡，建筑系数 37.1%，容积率 0.42。厂区坐标以厂界西南角为原点，X 轴向东、Y 轴向北，各建构筑物外轮廓定位坐标可直接用于放线复核，详见附图 02 及其建构筑物一览表。</w:t>
      </w:r>
    </w:p>
    <w:p>
      <w:pPr>
        <w:spacing w:lineRule="exact" w:line="540" w:before="0" w:after="0"/>
        <w:ind w:firstLineChars="200" w:firstLine="280"/>
        <w:jc w:val="both"/>
      </w:pPr>
      <w:r>
        <w:rPr>
          <w:rFonts w:ascii="宋体" w:hAnsi="宋体" w:eastAsia="宋体" w:cs="宋体" w:hint="eastAsia"/>
          <w:b w:val="0"/>
          <w:i w:val="0"/>
          <w:sz w:val="28"/>
        </w:rPr>
        <w:t>生产车间（98.0 m×61.2 m，单层，檐高 12 m，钢结构，火灾危险性丙类，耐火等级二级）布置于厂区北侧，外轮廓定位 X=14.00～112.00 m、Y=87.10～148.30 m。</w:t>
      </w:r>
    </w:p>
    <w:p>
      <w:pPr>
        <w:spacing w:lineRule="exact" w:line="540" w:before="0" w:after="0"/>
        <w:ind w:firstLineChars="200" w:firstLine="280"/>
        <w:jc w:val="both"/>
      </w:pPr>
      <w:r>
        <w:rPr>
          <w:rFonts w:ascii="宋体" w:hAnsi="宋体" w:eastAsia="宋体" w:cs="宋体" w:hint="eastAsia"/>
          <w:b w:val="0"/>
          <w:i w:val="0"/>
          <w:sz w:val="28"/>
        </w:rPr>
        <w:t>原料库（27.9 m×21.5 m，单层，檐高 8 m，钢结构，火灾危险性丙类，耐火等级二级）布置于厂区南西角，外轮廓定位 X=31.30～59.20 m、Y=49.60～71.10 m。</w:t>
      </w:r>
    </w:p>
    <w:p>
      <w:pPr>
        <w:spacing w:lineRule="exact" w:line="540" w:before="0" w:after="0"/>
        <w:ind w:firstLineChars="200" w:firstLine="280"/>
        <w:jc w:val="both"/>
      </w:pPr>
      <w:r>
        <w:rPr>
          <w:rFonts w:ascii="宋体" w:hAnsi="宋体" w:eastAsia="宋体" w:cs="宋体" w:hint="eastAsia"/>
          <w:b w:val="0"/>
          <w:i w:val="0"/>
          <w:sz w:val="28"/>
        </w:rPr>
        <w:t>成品库（25.5 m×19.6 m，单层，檐高 8 m，钢结构，火灾危险性丙类，耐火等级二级）布置于厂区南东角，外轮廓定位 X=69.20～94.70 m、Y=50.55～70.15 m。</w:t>
      </w:r>
    </w:p>
    <w:p>
      <w:pPr>
        <w:spacing w:lineRule="exact" w:line="540" w:before="0" w:after="0"/>
        <w:ind w:firstLineChars="200" w:firstLine="280"/>
        <w:jc w:val="both"/>
      </w:pPr>
      <w:r>
        <w:rPr>
          <w:rFonts w:ascii="宋体" w:hAnsi="宋体" w:eastAsia="宋体" w:cs="宋体" w:hint="eastAsia"/>
          <w:b w:val="0"/>
          <w:i w:val="0"/>
          <w:sz w:val="28"/>
        </w:rPr>
        <w:t>综合办公楼（25.5 m×19.6 m，3 层，檐高 11 m，框架，火灾危险性民用，耐火等级二级）布置于厂区南侧，外轮廓定位 X=50.25～75.75 m、Y=14.00～33.60 m。</w:t>
      </w:r>
    </w:p>
    <w:p>
      <w:pPr>
        <w:keepNext/>
        <w:spacing w:before="0" w:after="0" w:lineRule="exact" w:line="540"/>
        <w:ind w:firstLine="0"/>
        <w:jc w:val="center"/>
      </w:pPr>
      <w:r>
        <w:rPr>
          <w:rFonts w:ascii="宋体" w:hAnsi="宋体" w:eastAsia="宋体" w:cs="宋体" w:hint="eastAsia"/>
          <w:b w:val="0"/>
          <w:i w:val="0"/>
          <w:sz w:val="28"/>
        </w:rPr>
        <w:t>表4-1-1 总平面布置主要控制指标表</w:t>
      </w:r>
    </w:p>
    <w:tbl>
      <w:tblPr>
        <w:tblW w:w="9213" w:type="dxa"/>
        <w:jc w:val="center"/>
        <w:tblInd w:w="0" w:type="dxa"/>
        <w:tblLayout w:type="fixed"/>
        <w:tblCellMar>
          <w:top w:w="0" w:type="dxa"/>
          <w:left w:w="108" w:type="dxa"/>
          <w:bottom w:w="0" w:type="dxa"/>
          <w:right w:w="108" w:type="dxa"/>
        </w:tblCellMar>
      </w:tblPr>
      <w:tblGrid>
        <w:gridCol w:w="1316"/>
        <w:gridCol w:w="2522"/>
        <w:gridCol w:w="3729"/>
        <w:gridCol w:w="1645"/>
      </w:tblGrid>
      <w:tr>
        <w:trPr>
          <w:tblHeader w:val="true"/>
          <w:cantSplit w:val="true"/>
          <w:trHeight w:val="482" w:hRule="atLeast"/>
        </w:trPr>
        <w:tc>
          <w:tcPr>
            <w:tcW w:type="dxa" w:w="13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检查项目</w:t>
            </w:r>
          </w:p>
        </w:tc>
        <w:tc>
          <w:tcPr>
            <w:tcW w:type="dxa" w:w="252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规范要求</w:t>
            </w:r>
          </w:p>
        </w:tc>
        <w:tc>
          <w:tcPr>
            <w:tcW w:type="dxa" w:w="372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本项目设计</w:t>
            </w:r>
          </w:p>
        </w:tc>
        <w:tc>
          <w:tcPr>
            <w:tcW w:type="dxa" w:w="16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结论</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功能分区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生产、储存、办公生活区分区布置，人流物流分开</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生产区（生产车间）在北、仓储区（原料库、成品库）居中、办公及生活区（综合办公楼）在南靠主出入口</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符合</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厂区出入口</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不宜少于 2 个，人流与物流分开（GB 50187-2012 第6.3.4条）</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主出入口 8.0 m（南侧，人流、消防）；次出入口 6.0 m（东侧，物流、消防）</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方位须建设单位确认</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消防车道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净宽、净高不小于 4.0 m，环形或设回车场（GB 50016 第7.1.8条）</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沿厂界内侧环形布置，净宽 6.0 m，距外墙 5.0 m</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符合</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防火间距</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 GB 50016 表 3.4.1 控制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最小净距 10.0 m（原料库—成品库）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满足</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危险性设施</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散发可燃气体、蒸气的设施宜位于全年最小频率风向的上风侧</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喷漆柜设于生产车间内，独立机械排风，与办公区分离；产尘工段集中布置，除尘器设于车间外独立区域</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已与办公区分开</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绿化与围墙</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生产区与办公生活区分隔，厂区设围墙</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四周设实体围墙与绿化带，生产区与办公区间以道路分隔</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符合</w:t>
            </w:r>
          </w:p>
        </w:tc>
      </w:tr>
    </w:tbl>
    <w:p>
      <w:pPr>
        <w:keepNext/>
        <w:spacing w:before="0" w:after="0" w:lineRule="exact" w:line="540"/>
        <w:ind w:firstLine="0"/>
        <w:jc w:val="center"/>
      </w:pPr>
      <w:r>
        <w:rPr>
          <w:rFonts w:ascii="宋体" w:hAnsi="宋体" w:eastAsia="宋体" w:cs="宋体" w:hint="eastAsia"/>
          <w:b w:val="0"/>
          <w:i w:val="0"/>
          <w:sz w:val="28"/>
        </w:rPr>
        <w:t>表4-1-2 总平面主要技术经济指标表</w:t>
      </w:r>
    </w:p>
    <w:tbl>
      <w:tblPr>
        <w:tblW w:w="9213" w:type="dxa"/>
        <w:jc w:val="center"/>
        <w:tblInd w:w="0" w:type="dxa"/>
        <w:tblLayout w:type="fixed"/>
        <w:tblCellMar>
          <w:top w:w="0" w:type="dxa"/>
          <w:left w:w="108" w:type="dxa"/>
          <w:bottom w:w="0" w:type="dxa"/>
          <w:right w:w="108" w:type="dxa"/>
        </w:tblCellMar>
      </w:tblPr>
      <w:tblGrid>
        <w:gridCol w:w="745"/>
        <w:gridCol w:w="2147"/>
        <w:gridCol w:w="954"/>
        <w:gridCol w:w="1550"/>
        <w:gridCol w:w="3816"/>
      </w:tblGrid>
      <w:tr>
        <w:trPr>
          <w:tblHeader w:val="true"/>
          <w:cantSplit w:val="true"/>
          <w:trHeight w:val="482" w:hRule="atLeast"/>
        </w:trPr>
        <w:tc>
          <w:tcPr>
            <w:tcW w:type="dxa" w:w="7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14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指标名称</w:t>
            </w:r>
          </w:p>
        </w:tc>
        <w:tc>
          <w:tcPr>
            <w:tcW w:type="dxa" w:w="9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155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数值</w:t>
            </w:r>
          </w:p>
        </w:tc>
        <w:tc>
          <w:tcPr>
            <w:tcW w:type="dxa" w:w="38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计算说明</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厂区用地面积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20450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按本图厂界尺寸 126.0 m×162.3 m 计；最终以规划条件与用地红线为准</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建筑物基底面积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7597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各建构筑物平面尺寸之和（共 4 栋）</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总建筑面积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8597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按各栋基底面积×层数计</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建筑系数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37.1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建筑系数＝建筑物基底面积/厂区用地面积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容积率</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0.42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容积率＝总建筑面积/厂区用地面积</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消防车道净宽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m</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环形布置，满足不小于 4.0 m</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出入口数量</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个</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主出入口 8.0 m（方位按南侧设计，须确认）；次出入口 6.0 m</w:t>
            </w:r>
          </w:p>
        </w:tc>
      </w:tr>
    </w:tbl>
    <w:p>
      <w:pPr>
        <w:keepNext/>
        <w:spacing w:before="0" w:after="0" w:lineRule="exact" w:line="540"/>
        <w:ind w:firstLine="0"/>
        <w:jc w:val="center"/>
      </w:pPr>
      <w:r>
        <w:rPr>
          <w:rFonts w:ascii="宋体" w:hAnsi="宋体" w:eastAsia="宋体" w:cs="宋体" w:hint="eastAsia"/>
          <w:b w:val="0"/>
          <w:i w:val="0"/>
          <w:sz w:val="28"/>
        </w:rPr>
        <w:t>表4-1-3 总平面功能分区表</w:t>
      </w:r>
    </w:p>
    <w:tbl>
      <w:tblPr>
        <w:tblW w:w="9213" w:type="dxa"/>
        <w:jc w:val="center"/>
        <w:tblInd w:w="0" w:type="dxa"/>
        <w:tblLayout w:type="fixed"/>
        <w:tblCellMar>
          <w:top w:w="0" w:type="dxa"/>
          <w:left w:w="108" w:type="dxa"/>
          <w:bottom w:w="0" w:type="dxa"/>
          <w:right w:w="108" w:type="dxa"/>
        </w:tblCellMar>
      </w:tblPr>
      <w:tblGrid>
        <w:gridCol w:w="664"/>
        <w:gridCol w:w="1699"/>
        <w:gridCol w:w="1274"/>
        <w:gridCol w:w="1593"/>
        <w:gridCol w:w="3982"/>
      </w:tblGrid>
      <w:tr>
        <w:trPr>
          <w:tblHeader w:val="true"/>
          <w:cantSplit w:val="true"/>
          <w:trHeight w:val="482" w:hRule="atLeast"/>
        </w:trPr>
        <w:tc>
          <w:tcPr>
            <w:tcW w:type="dxa" w:w="66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69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建构筑物/分区</w:t>
            </w:r>
          </w:p>
        </w:tc>
        <w:tc>
          <w:tcPr>
            <w:tcW w:type="dxa" w:w="12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主要功能</w:t>
            </w:r>
          </w:p>
        </w:tc>
        <w:tc>
          <w:tcPr>
            <w:tcW w:type="dxa" w:w="159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w:t>
            </w:r>
          </w:p>
        </w:tc>
        <w:tc>
          <w:tcPr>
            <w:tcW w:type="dxa" w:w="398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布置要求</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下料、机加工、焊接、装配、喷涂</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位于厂区北侧（Y=87.1 m）；布置于生产区，与仓储、办公区之间以厂区道路分隔，与原料库净距 16.0 m（≥10.0 m）</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钢材存放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位于厂区南西角（Y=49.6 m）；布置于生产区相邻的仓储区，靠近厂区道路，便于装卸与消防扑救，与成品库净距 10.0 m（≥10.0 m）</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成品存放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位于厂区南东角（Y=50.5 m）；布置于生产区相邻的仓储区，靠近厂区道路，便于装卸与消防扑救，与原料库净距 10.0 m（≥10.0 m）</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办公、会议、值班</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民用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位于厂区南侧（Y=14.0 m）；布置于厂区主出入口一侧，与生产区、仓储区分开，人员疏散直接通向厂外，与原料库净距 16.0 m（≥10.0 m）</w:t>
            </w:r>
          </w:p>
        </w:tc>
      </w:tr>
    </w:tbl>
    <w:p>
      <w:pPr>
        <w:keepNext/>
        <w:spacing w:lineRule="exact" w:line="540" w:before="156" w:after="156"/>
        <w:ind w:firstLine="0"/>
        <w:jc w:val="left"/>
        <w:outlineLvl w:val="2"/>
      </w:pPr>
      <w:r>
        <w:rPr>
          <w:rFonts w:ascii="黑体" w:hAnsi="黑体" w:eastAsia="黑体" w:cs="黑体" w:hint="eastAsia"/>
          <w:b w:val="0"/>
          <w:i w:val="0"/>
          <w:sz w:val="28"/>
          <w:color w:val="000000"/>
        </w:rPr>
        <w:t>4.1.2 出入口与厂内道路</w:t>
      </w:r>
    </w:p>
    <w:p>
      <w:pPr>
        <w:spacing w:lineRule="exact" w:line="540" w:before="0" w:after="0"/>
        <w:ind w:firstLineChars="200" w:firstLine="280"/>
        <w:jc w:val="both"/>
      </w:pPr>
      <w:r>
        <w:rPr>
          <w:rFonts w:ascii="宋体" w:hAnsi="宋体" w:eastAsia="宋体" w:cs="宋体" w:hint="eastAsia"/>
          <w:b w:val="0"/>
          <w:i w:val="0"/>
          <w:sz w:val="28"/>
        </w:rPr>
        <w:t>厂区设 2 个出入口：主出入口（人流、消防）设于厂区南侧，净宽 8.0 m；次出入口（物流、消防）设于厂区东侧，净宽 6.0 m。主出入口承担人员进出与消防车通行，次出入口承担原料进场与成品出厂，货运车辆不穿越办公区与生产作业区，实现人流与物流分开。厂内道路沿厂界内侧环形布置，主车道净宽 6.0 m，与消防车道合用；道路转弯半径不小于 12 m，最大纵坡不大于 8%，路面结构按消防车满载 30 t 的荷载标准设计。道路与建构筑物之间设 5.0 m 退距，兼作人行与管线通道。</w:t>
      </w:r>
    </w:p>
    <w:p>
      <w:pPr>
        <w:keepNext/>
        <w:spacing w:before="0" w:after="0" w:lineRule="exact" w:line="540"/>
        <w:ind w:firstLine="0"/>
        <w:jc w:val="center"/>
      </w:pPr>
      <w:r>
        <w:rPr>
          <w:rFonts w:ascii="宋体" w:hAnsi="宋体" w:eastAsia="宋体" w:cs="宋体" w:hint="eastAsia"/>
          <w:b w:val="0"/>
          <w:i w:val="0"/>
          <w:sz w:val="28"/>
        </w:rPr>
        <w:t>表4-1-4 人流物流组织表</w:t>
      </w:r>
    </w:p>
    <w:tbl>
      <w:tblPr>
        <w:tblW w:w="9213" w:type="dxa"/>
        <w:jc w:val="center"/>
        <w:tblInd w:w="0" w:type="dxa"/>
        <w:tblLayout w:type="fixed"/>
        <w:tblCellMar>
          <w:top w:w="0" w:type="dxa"/>
          <w:left w:w="108" w:type="dxa"/>
          <w:bottom w:w="0" w:type="dxa"/>
          <w:right w:w="108" w:type="dxa"/>
        </w:tblCellMar>
      </w:tblPr>
      <w:tblGrid>
        <w:gridCol w:w="1436"/>
        <w:gridCol w:w="3111"/>
        <w:gridCol w:w="2393"/>
        <w:gridCol w:w="2273"/>
      </w:tblGrid>
      <w:tr>
        <w:trPr>
          <w:tblHeader w:val="true"/>
          <w:cantSplit w:val="true"/>
          <w:trHeight w:val="482" w:hRule="atLeast"/>
        </w:trPr>
        <w:tc>
          <w:tcPr>
            <w:tcW w:type="dxa" w:w="143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类别</w:t>
            </w:r>
          </w:p>
        </w:tc>
        <w:tc>
          <w:tcPr>
            <w:tcW w:type="dxa" w:w="311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主要路线</w:t>
            </w:r>
          </w:p>
        </w:tc>
        <w:tc>
          <w:tcPr>
            <w:tcW w:type="dxa" w:w="239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组织方式</w:t>
            </w:r>
          </w:p>
        </w:tc>
        <w:tc>
          <w:tcPr>
            <w:tcW w:type="dxa" w:w="22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安全要求</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主出入口→综合办公楼→生产车间</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独立通道，设置人行道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人车分流，设置限速与警示标志</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原料物流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次出入口（物流）→原料库→生产车间</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专用货运通道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装卸区设置警戒，车辆熄火装卸</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成品物流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生产车间→成品库→次出入口（物流）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专用货运通道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成品堆放稳定，通道保持畅通</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消防通道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环形消防车道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全线贯通，禁止占用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设置消防车道标识与禁停标线</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应急疏散</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作业场所→安全出口→室外集结点</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双向疏散</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疏散指示与应急照明连续有效</w:t>
            </w:r>
          </w:p>
        </w:tc>
      </w:tr>
    </w:tbl>
    <w:p>
      <w:pPr>
        <w:keepNext/>
        <w:spacing w:lineRule="exact" w:line="540" w:before="156" w:after="156"/>
        <w:ind w:firstLine="0"/>
        <w:jc w:val="left"/>
        <w:outlineLvl w:val="2"/>
      </w:pPr>
      <w:r>
        <w:rPr>
          <w:rFonts w:ascii="黑体" w:hAnsi="黑体" w:eastAsia="黑体" w:cs="黑体" w:hint="eastAsia"/>
          <w:b w:val="0"/>
          <w:i w:val="0"/>
          <w:sz w:val="28"/>
          <w:color w:val="000000"/>
        </w:rPr>
        <w:t>4.1.3 消防车道与防火间距</w:t>
      </w:r>
    </w:p>
    <w:p>
      <w:pPr>
        <w:spacing w:lineRule="exact" w:line="540" w:before="0" w:after="0"/>
        <w:ind w:firstLineChars="200" w:firstLine="280"/>
        <w:jc w:val="both"/>
      </w:pPr>
      <w:r>
        <w:rPr>
          <w:rFonts w:ascii="宋体" w:hAnsi="宋体" w:eastAsia="宋体" w:cs="宋体" w:hint="eastAsia"/>
          <w:b w:val="0"/>
          <w:i w:val="0"/>
          <w:sz w:val="28"/>
        </w:rPr>
        <w:t>消防车道沿厂界内侧环形布置，净宽 6.0 m、净高不小于 4.0 m，车道靠建筑外墙一侧的边缘距外墙 5.0 m，符合《建筑设计防火规范》GB 50016-2014（2018 年版）第 7.1.8 条的规定；环形车道经主、次两个出入口与厂外道路连通，满足第 7.1.9 条环形消防车道至少两处与其他车道连通的要求。车道范围内不设停车位、不堆放物料，转弯处按不小于 12 m×12 m 的通行条件控制。建构筑物之间的防火间距按 GB 50016 表 3.4.1控制，本方案最小净距 10.0 m（原料库—成品库），对应标准下限 10.0 m，满足要求。各建筑对的实测净距、标准下限与校核结论见附图 02 防火间距校核表。</w:t>
      </w:r>
    </w:p>
    <w:p>
      <w:pPr>
        <w:keepNext/>
        <w:spacing w:before="0" w:after="0" w:lineRule="exact" w:line="540"/>
        <w:ind w:firstLine="0"/>
        <w:jc w:val="center"/>
      </w:pPr>
      <w:r>
        <w:rPr>
          <w:rFonts w:ascii="宋体" w:hAnsi="宋体" w:eastAsia="宋体" w:cs="宋体" w:hint="eastAsia"/>
          <w:b w:val="0"/>
          <w:i w:val="0"/>
          <w:sz w:val="28"/>
        </w:rPr>
        <w:t>表4-1-5 道路与消防车道设计参数表</w:t>
      </w:r>
    </w:p>
    <w:tbl>
      <w:tblPr>
        <w:tblW w:w="9213" w:type="dxa"/>
        <w:jc w:val="center"/>
        <w:tblInd w:w="0" w:type="dxa"/>
        <w:tblLayout w:type="fixed"/>
        <w:tblCellMar>
          <w:top w:w="0" w:type="dxa"/>
          <w:left w:w="108" w:type="dxa"/>
          <w:bottom w:w="0" w:type="dxa"/>
          <w:right w:w="108" w:type="dxa"/>
        </w:tblCellMar>
      </w:tblPr>
      <w:tblGrid>
        <w:gridCol w:w="652"/>
        <w:gridCol w:w="2819"/>
        <w:gridCol w:w="1879"/>
        <w:gridCol w:w="3863"/>
      </w:tblGrid>
      <w:tr>
        <w:trPr>
          <w:tblHeader w:val="true"/>
          <w:cantSplit w:val="true"/>
          <w:trHeight w:val="482" w:hRule="atLeast"/>
        </w:trPr>
        <w:tc>
          <w:tcPr>
            <w:tcW w:type="dxa" w:w="6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81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项目</w:t>
            </w:r>
          </w:p>
        </w:tc>
        <w:tc>
          <w:tcPr>
            <w:tcW w:type="dxa" w:w="18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设计值</w:t>
            </w:r>
          </w:p>
        </w:tc>
        <w:tc>
          <w:tcPr>
            <w:tcW w:type="dxa" w:w="38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说明</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消防车道净宽度</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6.0 m</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环形布置，满足不小于 4.0 m</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消防车道净空高度</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≥4.0 m</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道路上方无架空管线与门洞障碍</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消防车道转弯半径</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12 m</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按消防车最小转弯半径设计，施工图按当地车型核定</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厂区主干道宽度</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6.0 m</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与消防车道合用</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道路纵坡</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0.5%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场地平坡式排水，满足不大于 8%</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消防车道形式</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环形</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经 2 个出入口与厂外道路连通（GB 50016 第7.1.9条）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厂区限速</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15 km/h</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车间、库房内 5 km/h</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车道边缘至建筑外墙</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5.0 m</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50016 第7.1.8条不宜小于 5.0 m</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9</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路面荷载标准</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30 t</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按消防车满载总重设计</w:t>
            </w:r>
          </w:p>
        </w:tc>
      </w:tr>
    </w:tbl>
    <w:p>
      <w:pPr>
        <w:keepNext/>
        <w:spacing w:before="0" w:after="0" w:lineRule="exact" w:line="540"/>
        <w:ind w:firstLine="0"/>
        <w:jc w:val="center"/>
      </w:pPr>
      <w:r>
        <w:rPr>
          <w:rFonts w:ascii="宋体" w:hAnsi="宋体" w:eastAsia="宋体" w:cs="宋体" w:hint="eastAsia"/>
          <w:b w:val="0"/>
          <w:i w:val="0"/>
          <w:sz w:val="28"/>
        </w:rPr>
        <w:t>表4-1-6 厂内机动车限速规定</w:t>
      </w:r>
    </w:p>
    <w:tbl>
      <w:tblPr>
        <w:tblW w:w="9213" w:type="dxa"/>
        <w:jc w:val="center"/>
        <w:tblInd w:w="0" w:type="dxa"/>
        <w:tblLayout w:type="fixed"/>
        <w:tblCellMar>
          <w:top w:w="0" w:type="dxa"/>
          <w:left w:w="108" w:type="dxa"/>
          <w:bottom w:w="0" w:type="dxa"/>
          <w:right w:w="108" w:type="dxa"/>
        </w:tblCellMar>
      </w:tblPr>
      <w:tblGrid>
        <w:gridCol w:w="700"/>
        <w:gridCol w:w="2800"/>
        <w:gridCol w:w="1456"/>
        <w:gridCol w:w="2352"/>
        <w:gridCol w:w="1904"/>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8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行驶区域</w:t>
            </w:r>
          </w:p>
        </w:tc>
        <w:tc>
          <w:tcPr>
            <w:tcW w:type="dxa" w:w="145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限速值(km/h)</w:t>
            </w:r>
          </w:p>
        </w:tc>
        <w:tc>
          <w:tcPr>
            <w:tcW w:type="dxa" w:w="23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w:t>
            </w:r>
          </w:p>
        </w:tc>
        <w:tc>
          <w:tcPr>
            <w:tcW w:type="dxa" w:w="19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厂区主干道</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4387、企业交通安全管理制度</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转弯、会车时减速</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厂区次干道及支路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4387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视距不良处进一步降低</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生产作业场所、库房内部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4387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人员密集区域设专人指挥</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装卸作业区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4387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倒车、转弯时鸣笛</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大门、道口及交叉口</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4387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停车确认后通行</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雨、雪、雾等恶劣天气</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按正常限速减半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企业交通安全管理制度</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必要时停止运输</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叉车等厂内专用车辆</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GB 4387、TSG 81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持证操作，禁止载人</w:t>
            </w:r>
          </w:p>
        </w:tc>
      </w:tr>
    </w:tbl>
    <w:p>
      <w:pPr>
        <w:keepNext/>
        <w:spacing w:lineRule="exact" w:line="540" w:before="156" w:after="156"/>
        <w:ind w:firstLine="0"/>
        <w:jc w:val="left"/>
        <w:outlineLvl w:val="2"/>
      </w:pPr>
      <w:r>
        <w:rPr>
          <w:rFonts w:ascii="黑体" w:hAnsi="黑体" w:eastAsia="黑体" w:cs="黑体" w:hint="eastAsia"/>
          <w:b w:val="0"/>
          <w:i w:val="0"/>
          <w:sz w:val="28"/>
          <w:color w:val="000000"/>
        </w:rPr>
        <w:t>4.1.4 竖向布置与管线综合</w:t>
      </w:r>
    </w:p>
    <w:p>
      <w:pPr>
        <w:spacing w:lineRule="exact" w:line="540" w:before="0" w:after="0"/>
        <w:ind w:firstLineChars="200" w:firstLine="280"/>
        <w:jc w:val="both"/>
      </w:pPr>
      <w:r>
        <w:rPr>
          <w:rFonts w:ascii="宋体" w:hAnsi="宋体" w:eastAsia="宋体" w:cs="宋体" w:hint="eastAsia"/>
          <w:b w:val="0"/>
          <w:i w:val="0"/>
          <w:sz w:val="28"/>
        </w:rPr>
        <w:t>场地竖向采用平坡式布置，场地设计坡度 0.5%，雨水经道路雨水口排入厂区雨水管网；场地标高按高于厂外道路 0.15 m 控制，具体标高以建设单位提供的现状地形图与厂外道路标高核定。给水、消防、排水、电力与通信管线沿厂内道路两侧敷设，地下管线的最小覆土深度与水平净距按《城市工程管线综合规划规范》GB 50289 控制；架空管线不得跨越消防车道，必须跨越时净高不小于 4.0 m。</w:t>
      </w:r>
    </w:p>
    <w:p>
      <w:pPr>
        <w:keepNext/>
        <w:spacing w:lineRule="exact" w:line="540" w:before="156" w:after="156"/>
        <w:ind w:firstLine="0"/>
        <w:jc w:val="left"/>
        <w:outlineLvl w:val="2"/>
      </w:pPr>
      <w:r>
        <w:rPr>
          <w:rFonts w:ascii="黑体" w:hAnsi="黑体" w:eastAsia="黑体" w:cs="黑体" w:hint="eastAsia"/>
          <w:b w:val="0"/>
          <w:i w:val="0"/>
          <w:sz w:val="28"/>
          <w:color w:val="000000"/>
        </w:rPr>
        <w:t>4.1.5 厂内运输</w:t>
      </w:r>
    </w:p>
    <w:p>
      <w:pPr>
        <w:spacing w:lineRule="exact" w:line="540" w:before="0" w:after="0"/>
        <w:ind w:firstLineChars="200" w:firstLine="280"/>
        <w:jc w:val="both"/>
      </w:pPr>
      <w:r>
        <w:rPr>
          <w:rFonts w:ascii="宋体" w:hAnsi="宋体" w:eastAsia="宋体" w:cs="宋体" w:hint="eastAsia"/>
          <w:b w:val="0"/>
          <w:i w:val="0"/>
          <w:sz w:val="28"/>
        </w:rPr>
        <w:t>厂内运输以叉车和汽车为主。原料经次出入口进入原料仓库装卸区，再经厂内道路运至生产车间；成品由生产车间运至成品暂存区后经次出入口出厂。人员生产场所前人行道进入生产区，与货运路线在平面上分开，交叉处设置人行横道、限速与警示标志。厂区主干道限速 15 km/h，车间与库房内限速 5 km/h，装卸作业区设专人指挥，车辆倒车、转弯时鸣笛示警。</w:t>
      </w:r>
    </w:p>
    <w:p>
      <w:pPr>
        <w:keepNext/>
        <w:spacing w:before="0" w:after="0" w:lineRule="exact" w:line="540"/>
        <w:ind w:firstLine="0"/>
        <w:jc w:val="center"/>
      </w:pPr>
      <w:r>
        <w:rPr>
          <w:rFonts w:ascii="宋体" w:hAnsi="宋体" w:eastAsia="宋体" w:cs="宋体" w:hint="eastAsia"/>
          <w:b w:val="0"/>
          <w:i w:val="0"/>
          <w:sz w:val="28"/>
        </w:rPr>
        <w:t>表4-1-7 交通标志设置要求</w:t>
      </w:r>
    </w:p>
    <w:tbl>
      <w:tblPr>
        <w:tblW w:w="9213" w:type="dxa"/>
        <w:jc w:val="center"/>
        <w:tblInd w:w="0" w:type="dxa"/>
        <w:tblLayout w:type="fixed"/>
        <w:tblCellMar>
          <w:top w:w="0" w:type="dxa"/>
          <w:left w:w="108" w:type="dxa"/>
          <w:bottom w:w="0" w:type="dxa"/>
          <w:right w:w="108" w:type="dxa"/>
        </w:tblCellMar>
      </w:tblPr>
      <w:tblGrid>
        <w:gridCol w:w="700"/>
        <w:gridCol w:w="1792"/>
        <w:gridCol w:w="1120"/>
        <w:gridCol w:w="2240"/>
        <w:gridCol w:w="1792"/>
        <w:gridCol w:w="1568"/>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7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设置位置</w:t>
            </w:r>
          </w:p>
        </w:tc>
        <w:tc>
          <w:tcPr>
            <w:tcW w:type="dxa" w:w="112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标志类别</w:t>
            </w:r>
          </w:p>
        </w:tc>
        <w:tc>
          <w:tcPr>
            <w:tcW w:type="dxa" w:w="22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标志内容</w:t>
            </w:r>
          </w:p>
        </w:tc>
        <w:tc>
          <w:tcPr>
            <w:tcW w:type="dxa" w:w="17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设置要求</w:t>
            </w:r>
          </w:p>
        </w:tc>
        <w:tc>
          <w:tcPr>
            <w:tcW w:type="dxa" w:w="156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主出入口</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警告/指令</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限速、禁止烟火、佩戴安全帽</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醒目、固定，夜间可视</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2894、GB 5768</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厂区道路交叉口</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减速让行、注意行人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转角处提前设置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5768</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生产车间出入口</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警告/指令</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当心机械伤害、当心触电、必须戴安全帽</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入口醒目位置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2894</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库房出入口</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禁止/警告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禁止烟火、禁止吸烟、当心火灾</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门旁及堆垛区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2894、GB 15603</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装卸作业区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警告</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当心车辆、必须戴安全帽</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作业区边界</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2894</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消防设施旁</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提示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消火栓、灭火器、消防通道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不得遮挡，间距符合要求</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13495</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疏散通道</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提示</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安全出口、疏散方向</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连续设置，夜间可识别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GB 13495、GB 51309</w:t>
            </w:r>
          </w:p>
        </w:tc>
      </w:tr>
    </w:tbl>
    <w:p>
      <w:pPr>
        <w:spacing w:lineRule="exact" w:line="540" w:before="0" w:after="0"/>
        <w:ind w:firstLineChars="200" w:firstLine="280"/>
        <w:jc w:val="both"/>
      </w:pPr>
      <w:r>
        <w:rPr>
          <w:rFonts w:ascii="宋体" w:hAnsi="宋体" w:eastAsia="宋体" w:cs="宋体" w:hint="eastAsia"/>
          <w:b w:val="0"/>
          <w:i w:val="0"/>
          <w:sz w:val="28"/>
        </w:rPr>
        <w:t>本节总平面布置为方案设计深度：建构筑物的长、宽、层数、高度、结构形式与火灾危险性类别按建设单位提供（或对话确认）的资料采用；建筑定位、功能分区、出入口、道路与消防车道为本专篇的设计成果；坐标系统、场地标高、道路结构层、管线综合与绿化布置由施工图设计确定。未取得用地红线与现状地形图时，厂界尺寸按本方案布置反算，最终以规划许可文件为准。</w:t>
      </w:r>
    </w:p>
    <w:p>
      <w:pPr>
        <w:pStyle w:val="Heading2"/>
        <w:keepNext/>
        <w:spacing w:lineRule="exact" w:line="540" w:before="120" w:after="120"/>
        <w:ind w:firstLine="0"/>
        <w:jc w:val="both"/>
      </w:pPr>
      <w:r>
        <w:rPr>
          <w:rFonts w:ascii="楷体" w:hAnsi="楷体" w:eastAsia="楷体" w:cs="楷体" w:hint="eastAsia"/>
          <w:b w:val="0"/>
          <w:i w:val="0"/>
          <w:sz w:val="32"/>
          <w:color w:val="000000"/>
        </w:rPr>
        <w:t>4.2建筑与结构</w:t>
      </w:r>
    </w:p>
    <w:p>
      <w:pPr>
        <w:keepNext/>
        <w:spacing w:lineRule="exact" w:line="540" w:before="156" w:after="156"/>
        <w:ind w:firstLine="0"/>
        <w:jc w:val="left"/>
        <w:outlineLvl w:val="2"/>
      </w:pPr>
      <w:r>
        <w:rPr>
          <w:rFonts w:ascii="黑体" w:hAnsi="黑体" w:eastAsia="黑体" w:cs="黑体" w:hint="eastAsia"/>
          <w:b w:val="0"/>
          <w:i w:val="0"/>
          <w:sz w:val="28"/>
          <w:color w:val="000000"/>
        </w:rPr>
        <w:t>4.2.1 建筑单体</w:t>
      </w:r>
    </w:p>
    <w:p>
      <w:pPr>
        <w:spacing w:lineRule="exact" w:line="540" w:before="0" w:after="0"/>
        <w:ind w:firstLineChars="200" w:firstLine="280"/>
        <w:jc w:val="both"/>
      </w:pPr>
      <w:r>
        <w:rPr>
          <w:rFonts w:ascii="宋体" w:hAnsi="宋体" w:eastAsia="宋体" w:cs="宋体" w:hint="eastAsia"/>
          <w:b w:val="0"/>
          <w:i w:val="0"/>
          <w:sz w:val="28"/>
        </w:rPr>
        <w:t>各建筑单体的平面轴线尺寸、层数、檐高、结构形式与火灾危险性类别为：生产车间，建筑面积 6000 ㎡（轴线尺寸待建筑专业核定），建筑面积 6000 ㎡，1 层，檐高 12 m，钢结构，火灾危险性丙类，耐火等级二级；原料库，建筑面积 600 ㎡（轴线尺寸待建筑专业核定），建筑面积 600 ㎡，1 层，檐高 8 m，钢结构，火灾危险性丙类，耐火等级二级；成品库，建筑面积 500 ㎡（轴线尺寸待建筑专业核定），建筑面积 500 ㎡，1 层，檐高 8 m，钢结构，火灾危险性丙类，耐火等级二级；综合办公楼，建筑面积 500 ㎡（轴线尺寸待建筑专业核定），建筑面积 500 ㎡，3 层，檐高 11 m，框架，火灾危险性民用类，耐火等级二级。</w:t>
      </w:r>
    </w:p>
    <w:p>
      <w:pPr>
        <w:spacing w:lineRule="exact" w:line="540" w:before="0" w:after="0"/>
        <w:ind w:firstLineChars="200" w:firstLine="280"/>
        <w:jc w:val="both"/>
      </w:pPr>
      <w:r>
        <w:rPr>
          <w:rFonts w:ascii="宋体" w:hAnsi="宋体" w:eastAsia="宋体" w:cs="宋体" w:hint="eastAsia"/>
          <w:b w:val="0"/>
          <w:i w:val="0"/>
          <w:sz w:val="28"/>
        </w:rPr>
        <w:t>防火分区按《建筑设计防火规范》GB 50016-2014（2018 年版）第 3.3.1 条、第 5.3.1 条按单体的火灾危险性类别、耐火等级与层数划分；每个防火分区安全出口的数量按第 3.7.2 条（厂房）、第 3.8.2 条（仓库）不少于 2 个控制，疏散距离与疏散宽度按第 3.7.4 条、第 3.7.5 条校核，校核结果见本专篇计算书。防火墙、防火门、防火卷帘的耐火极限按第 3.2 节、第 6.5 节选用，防火门向疏散方向开启，常闭防火门设置闭门器与警示标志。</w:t>
      </w:r>
    </w:p>
    <w:p>
      <w:pPr>
        <w:keepNext/>
        <w:spacing w:lineRule="exact" w:line="540" w:before="156" w:after="156"/>
        <w:ind w:firstLine="0"/>
        <w:jc w:val="left"/>
        <w:outlineLvl w:val="2"/>
      </w:pPr>
      <w:r>
        <w:rPr>
          <w:rFonts w:ascii="黑体" w:hAnsi="黑体" w:eastAsia="黑体" w:cs="黑体" w:hint="eastAsia"/>
          <w:b w:val="0"/>
          <w:i w:val="0"/>
          <w:sz w:val="28"/>
          <w:color w:val="000000"/>
        </w:rPr>
        <w:t>4.2.2 结构形式与柱网</w:t>
      </w:r>
    </w:p>
    <w:p>
      <w:pPr>
        <w:spacing w:lineRule="exact" w:line="540" w:before="0" w:after="0"/>
        <w:ind w:firstLineChars="200" w:firstLine="280"/>
        <w:jc w:val="both"/>
      </w:pPr>
      <w:r>
        <w:rPr>
          <w:rFonts w:ascii="宋体" w:hAnsi="宋体" w:eastAsia="宋体" w:cs="宋体" w:hint="eastAsia"/>
          <w:b w:val="0"/>
          <w:i w:val="0"/>
          <w:sz w:val="28"/>
        </w:rPr>
        <w:t>建设单位尚未提供柱距与跨度，附图 03 按钢结构常用柱距 6.0 m、跨度 7.5 m 初排，并在图中标注“需结构专业确认”；柱网最终由结构专业按工艺荷载、吊车吨位与抗震设防要求确定，本专篇不以初排结果作为结构设计依据。</w:t>
      </w:r>
    </w:p>
    <w:p>
      <w:pPr>
        <w:spacing w:lineRule="exact" w:line="540" w:before="0" w:after="0"/>
        <w:ind w:firstLineChars="200" w:firstLine="280"/>
        <w:jc w:val="both"/>
      </w:pPr>
      <w:r>
        <w:rPr>
          <w:rFonts w:ascii="宋体" w:hAnsi="宋体" w:eastAsia="宋体" w:cs="宋体" w:hint="eastAsia"/>
          <w:b w:val="0"/>
          <w:i w:val="0"/>
          <w:sz w:val="28"/>
        </w:rPr>
        <w:t>各单体均未设置吊车或行车（或尚未提供吊装设施资料），设备布置图不绘制吊车轨道；如后续增设吊车，应同步复核柱网、梁下净高与吊装作业安全措施，并办理设计变更。</w:t>
      </w:r>
    </w:p>
    <w:p>
      <w:pPr>
        <w:spacing w:lineRule="exact" w:line="540" w:before="0" w:after="0"/>
        <w:ind w:firstLineChars="200" w:firstLine="280"/>
        <w:jc w:val="both"/>
      </w:pPr>
      <w:r>
        <w:rPr>
          <w:rFonts w:ascii="宋体" w:hAnsi="宋体" w:eastAsia="宋体" w:cs="宋体" w:hint="eastAsia"/>
          <w:b w:val="0"/>
          <w:i w:val="0"/>
          <w:sz w:val="28"/>
        </w:rPr>
        <w:t>结构设计按《建筑结构荷载规范》GB 50009、《建筑抗震设计规范》GB 50011 与《钢结构设计标准》GB 50017 执行；抗震设防烈度按项目所在地的现行区划确定，本专篇不预设数值。设备荷载、动力系数与楼面活荷载由工艺专业提供条件后，由结构专业计算确定。</w:t>
      </w:r>
    </w:p>
    <w:p>
      <w:pPr>
        <w:keepNext/>
        <w:spacing w:lineRule="exact" w:line="540" w:before="156" w:after="156"/>
        <w:ind w:firstLine="0"/>
        <w:jc w:val="left"/>
        <w:outlineLvl w:val="2"/>
      </w:pPr>
      <w:r>
        <w:rPr>
          <w:rFonts w:ascii="黑体" w:hAnsi="黑体" w:eastAsia="黑体" w:cs="黑体" w:hint="eastAsia"/>
          <w:b w:val="0"/>
          <w:i w:val="0"/>
          <w:sz w:val="28"/>
          <w:color w:val="000000"/>
        </w:rPr>
        <w:t>4.2.3 门窗、楼梯与安全疏散</w:t>
      </w:r>
    </w:p>
    <w:p>
      <w:pPr>
        <w:spacing w:lineRule="exact" w:line="540" w:before="0" w:after="0"/>
        <w:ind w:firstLineChars="200" w:firstLine="280"/>
        <w:jc w:val="both"/>
      </w:pPr>
      <w:r>
        <w:rPr>
          <w:rFonts w:ascii="宋体" w:hAnsi="宋体" w:eastAsia="宋体" w:cs="宋体" w:hint="eastAsia"/>
          <w:b w:val="0"/>
          <w:i w:val="0"/>
          <w:sz w:val="28"/>
        </w:rPr>
        <w:t>门洞净宽与净高</w:t>
      </w:r>
      <w:r>
        <w:rPr>
          <w:rFonts w:ascii="宋体" w:hAnsi="宋体" w:eastAsia="宋体" w:cs="宋体" w:hint="eastAsia"/>
          <w:b w:val="0"/>
          <w:i w:val="0"/>
          <w:sz w:val="28"/>
          <w:color w:val="C00000"/>
        </w:rPr>
        <w:t>6.0 m×4.2 m（车间双扇平开大门）、1.8 m×2.1 m（安全出口）、1.2 m×2.1 m（仓库人行门）</w:t>
      </w:r>
      <w:r>
        <w:rPr>
          <w:rFonts w:ascii="宋体" w:hAnsi="宋体" w:eastAsia="宋体" w:cs="宋体" w:hint="eastAsia"/>
          <w:b w:val="0"/>
          <w:i w:val="0"/>
          <w:sz w:val="28"/>
        </w:rPr>
        <w:t>。附图 02、03 按南侧车间双扇平开大门 6.0 m（净高 4.2 m）、北侧安全出口 1.8 m 绘制，原料库、成品库设卷帘门；平开门均向室外开启。门洞最终尺寸须按设备最大不可拆件外形与疏散宽度计算确认后调整，不得设置影响疏散的门槛与门帘。</w:t>
      </w:r>
    </w:p>
    <w:p>
      <w:pPr>
        <w:spacing w:lineRule="exact" w:line="540" w:before="0" w:after="0"/>
        <w:ind w:firstLineChars="200" w:firstLine="280"/>
        <w:jc w:val="both"/>
      </w:pPr>
      <w:r>
        <w:rPr>
          <w:rFonts w:ascii="宋体" w:hAnsi="宋体" w:eastAsia="宋体" w:cs="宋体" w:hint="eastAsia"/>
          <w:b w:val="0"/>
          <w:i w:val="0"/>
          <w:sz w:val="28"/>
        </w:rPr>
        <w:t>多层建筑（综合办公楼）设置封闭楼梯间，楼梯净宽按疏散人数计算确定且不小于1.10 m，楼梯间在首层设直通室外的安全出口；室外疏散楼梯的净宽、倾斜角度与扶手高度按 GB 50016 第 6.4 节执行。</w:t>
      </w:r>
    </w:p>
    <w:p>
      <w:pPr>
        <w:spacing w:lineRule="exact" w:line="540" w:before="0" w:after="0"/>
        <w:ind w:firstLineChars="200" w:firstLine="280"/>
        <w:jc w:val="both"/>
      </w:pPr>
      <w:r>
        <w:rPr>
          <w:rFonts w:ascii="宋体" w:hAnsi="宋体" w:eastAsia="宋体" w:cs="宋体" w:hint="eastAsia"/>
          <w:b w:val="0"/>
          <w:i w:val="0"/>
          <w:sz w:val="28"/>
        </w:rPr>
        <w:t>窗洞按采光与自然通风要求设置，窗台高度低于 0.90 m 时设置防护栏杆；外窗可开启面积满足自然排烟要求，排烟窗设置手动开启装置，开启装置距地面高度 1.3～1.5 m。</w:t>
      </w:r>
    </w:p>
    <w:p>
      <w:pPr>
        <w:keepNext/>
        <w:spacing w:lineRule="exact" w:line="540" w:before="156" w:after="156"/>
        <w:ind w:firstLine="0"/>
        <w:jc w:val="left"/>
        <w:outlineLvl w:val="2"/>
      </w:pPr>
      <w:r>
        <w:rPr>
          <w:rFonts w:ascii="黑体" w:hAnsi="黑体" w:eastAsia="黑体" w:cs="黑体" w:hint="eastAsia"/>
          <w:b w:val="0"/>
          <w:i w:val="0"/>
          <w:sz w:val="28"/>
          <w:color w:val="000000"/>
        </w:rPr>
        <w:t>4.2.4 建筑构造与防火分隔</w:t>
      </w:r>
    </w:p>
    <w:p>
      <w:pPr>
        <w:spacing w:lineRule="exact" w:line="540" w:before="0" w:after="0"/>
        <w:ind w:firstLineChars="200" w:firstLine="280"/>
        <w:jc w:val="both"/>
      </w:pPr>
      <w:r>
        <w:rPr>
          <w:rFonts w:ascii="宋体" w:hAnsi="宋体" w:eastAsia="宋体" w:cs="宋体" w:hint="eastAsia"/>
          <w:b w:val="0"/>
          <w:i w:val="0"/>
          <w:sz w:val="28"/>
        </w:rPr>
        <w:t>厂房与仓库的承重结构、楼板、屋顶承重构件与疏散楼梯采用不燃烧体，耐火极限按 GB 50016 表 3.2.1 对应耐火等级选用；防火墙砌至梁板底部并砌出屋面 0.5 m，防火墙上不得开设门窗洞口，必须开设时设置甲级防火门；防火分区之间的防火门为常闭乙级防火门，向疏散方向开启并设闭门器。</w:t>
      </w:r>
    </w:p>
    <w:p>
      <w:pPr>
        <w:spacing w:lineRule="exact" w:line="540" w:before="0" w:after="0"/>
        <w:ind w:firstLineChars="200" w:firstLine="280"/>
        <w:jc w:val="both"/>
      </w:pPr>
      <w:r>
        <w:rPr>
          <w:rFonts w:ascii="宋体" w:hAnsi="宋体" w:eastAsia="宋体" w:cs="宋体" w:hint="eastAsia"/>
          <w:b w:val="0"/>
          <w:i w:val="0"/>
          <w:sz w:val="28"/>
        </w:rPr>
        <w:t>建筑地面按生产工段分别采用耐磨混凝土或环氧地坪，有可燃液体或油污的工段地面设置防渗与导流设施；配电室、控制室的地面采用防静电地板或不发火花地面；爆炸危险区域内的地面与墙面采用防静电、不燃材料。</w:t>
      </w:r>
    </w:p>
    <w:p>
      <w:pPr>
        <w:spacing w:lineRule="exact" w:line="540" w:before="0" w:after="0"/>
        <w:ind w:firstLineChars="200" w:firstLine="280"/>
        <w:jc w:val="both"/>
      </w:pPr>
      <w:r>
        <w:rPr>
          <w:rFonts w:ascii="宋体" w:hAnsi="宋体" w:eastAsia="宋体" w:cs="宋体" w:hint="eastAsia"/>
          <w:b w:val="0"/>
          <w:i w:val="0"/>
          <w:sz w:val="28"/>
        </w:rPr>
        <w:t>屋面采用不燃或难燃保温材料，屋面防水等级按《屋面工程技术规范》GB 50345 确定；有粉尘爆炸危险的工段按《粉尘防爆安全规程》GB 15577 设置泄爆面、泄爆导流与隔爆设施，生产场所容积计算，具体计算见本专篇第 6 章。</w:t>
      </w:r>
    </w:p>
    <w:p>
      <w:pPr>
        <w:spacing w:lineRule="exact" w:line="540" w:before="0" w:after="0"/>
        <w:ind w:firstLineChars="200" w:firstLine="280"/>
        <w:jc w:val="both"/>
      </w:pPr>
      <w:r>
        <w:rPr>
          <w:rFonts w:ascii="宋体" w:hAnsi="宋体" w:eastAsia="宋体" w:cs="宋体" w:hint="eastAsia"/>
          <w:b w:val="0"/>
          <w:i w:val="0"/>
          <w:sz w:val="28"/>
        </w:rPr>
        <w:t>本节所列建筑尺寸、柱网、吊车与门洞为建设单位提供（或对话确认）的数据；建筑构造做法、节点详图、门窗表与结构配筋由建筑设计单位在施工图阶段完成，本专篇不替代施工图设计文件。</w:t>
      </w:r>
    </w:p>
    <w:p>
      <w:pPr>
        <w:keepNext/>
        <w:spacing w:lineRule="exact" w:line="540" w:before="0" w:after="0"/>
        <w:ind w:firstLineChars="200" w:firstLine="280"/>
        <w:jc w:val="both"/>
      </w:pPr>
      <w:r>
        <w:rPr>
          <w:rFonts w:ascii="宋体" w:hAnsi="宋体" w:eastAsia="宋体" w:cs="宋体" w:hint="eastAsia"/>
          <w:b w:val="0"/>
          <w:i w:val="0"/>
          <w:sz w:val="28"/>
        </w:rPr>
        <w:t>设计计算结论（数值引自《安全设施设计计算书》，与计算书同源）：</w:t>
      </w:r>
    </w:p>
    <w:p>
      <w:pPr>
        <w:spacing w:lineRule="exact" w:line="540" w:before="0" w:after="0"/>
        <w:ind w:firstLineChars="200" w:firstLine="280"/>
        <w:jc w:val="both"/>
      </w:pPr>
      <w:r>
        <w:rPr>
          <w:rFonts w:ascii="宋体" w:hAnsi="宋体" w:eastAsia="宋体" w:cs="宋体" w:hint="eastAsia"/>
          <w:b w:val="0"/>
          <w:i w:val="0"/>
          <w:sz w:val="28"/>
        </w:rPr>
        <w:t>1. 防火分区最大允许建筑面积校核。依据《建筑设计防火规范》GB 50016-2014(2018年版) 表3.3.1。生产车间：丙类、二级、单层，表3.3.1 允许 8000 m²；实际 6000 m²，满足。结论：部分建构筑物缺少判定要素，未能全部校核。本项尚未闭合：原料库：须先确认储存物品项别（丙类1项 或 丙类2项）、成品库：须先确认储存物品项别（丙类1项 或 丙类2项）；补齐后由设计人重新计算并在计算书中填列，未闭合前不得作为施工依据。</w:t>
      </w:r>
    </w:p>
    <w:p>
      <w:pPr>
        <w:spacing w:lineRule="exact" w:line="540" w:before="0" w:after="0"/>
        <w:ind w:firstLineChars="200" w:firstLine="280"/>
        <w:jc w:val="both"/>
      </w:pPr>
      <w:r>
        <w:rPr>
          <w:rFonts w:ascii="宋体" w:hAnsi="宋体" w:eastAsia="宋体" w:cs="宋体" w:hint="eastAsia"/>
          <w:b w:val="0"/>
          <w:i w:val="0"/>
          <w:sz w:val="28"/>
        </w:rPr>
        <w:t>2. 生产场所泄压面积计算。依据《建筑设计防火规范》GB 50016-2014(2018年版) 第3.6.4条。生产车间：V = 6000 × 12 = 72000 m³；C = 0.08；A = 10CV^(2/3) = 1384.6 m²（长径比待核算）。结论：按 GB 50016 第 3.6.4 条计算，各厂房所需泄压面积见上表；实际泄压面积尚需按建筑立面与屋面布置核定后填写。本项尚未闭合：生产车间 的建筑长、宽（用于核算长径比）；补齐后由设计人重新计算并在计算书中填列，未闭合前不得作为施工依据。</w:t>
      </w:r>
    </w:p>
    <w:p>
      <w:pPr>
        <w:spacing w:lineRule="exact" w:line="540" w:before="0" w:after="0"/>
        <w:ind w:firstLineChars="200" w:firstLine="280"/>
        <w:jc w:val="both"/>
      </w:pPr>
      <w:r>
        <w:rPr>
          <w:rFonts w:ascii="宋体" w:hAnsi="宋体" w:eastAsia="宋体" w:cs="宋体" w:hint="eastAsia"/>
          <w:b w:val="0"/>
          <w:i w:val="0"/>
          <w:sz w:val="28"/>
        </w:rPr>
        <w:t>3. 安全疏散距离校核。依据《建筑设计防火规范》GB 50016-2014(2018年版) 表3.7.4。结论：疏散距离限值已给出，实际距离需由设计人按平面图填写后闭合。本项尚未闭合：生产车间 内任一点至最近安全出口的实际直线距离；补齐后由设计人重新计算并在计算书中填列，未闭合前不得作为施工依据。</w:t>
      </w:r>
    </w:p>
    <w:p>
      <w:pPr>
        <w:spacing w:lineRule="exact" w:line="540" w:before="0" w:after="0"/>
        <w:ind w:firstLineChars="200" w:firstLine="280"/>
        <w:jc w:val="both"/>
      </w:pPr>
      <w:r>
        <w:rPr>
          <w:rFonts w:ascii="宋体" w:hAnsi="宋体" w:eastAsia="宋体" w:cs="宋体" w:hint="eastAsia"/>
          <w:b w:val="0"/>
          <w:i w:val="0"/>
          <w:sz w:val="28"/>
        </w:rPr>
        <w:t>4. 疏散楼梯与安全出口总净宽度计算。依据《建筑设计防火规范》GB 50016-2014(2018年版) 第3.7.5条、表3.7.5。结论：各厂房所需疏散总净宽度见上表；实际楼梯与出口净宽应不小于该值，并按 GB 50016 第 3.7.5 条校核单个出口最小净宽。本项尚未闭合：生产车间 的最大同时疏散人数；补齐后由设计人重新计算并在计算书中填列，未闭合前不得作为施工依据。</w:t>
      </w:r>
    </w:p>
    <w:p>
      <w:pPr>
        <w:keepNext/>
        <w:spacing w:before="0" w:after="0" w:lineRule="exact" w:line="540"/>
        <w:ind w:firstLine="0"/>
        <w:jc w:val="center"/>
      </w:pPr>
      <w:r>
        <w:rPr>
          <w:rFonts w:ascii="宋体" w:hAnsi="宋体" w:eastAsia="宋体" w:cs="宋体" w:hint="eastAsia"/>
          <w:b w:val="0"/>
          <w:i w:val="0"/>
          <w:sz w:val="28"/>
        </w:rPr>
        <w:t>表4-2-1 建构筑物火灾危险性、耐火等级及抗震设防一览表</w:t>
      </w:r>
    </w:p>
    <w:tbl>
      <w:tblPr>
        <w:tblW w:w="9213" w:type="dxa"/>
        <w:jc w:val="center"/>
        <w:tblInd w:w="0" w:type="dxa"/>
        <w:tblLayout w:type="fixed"/>
        <w:tblCellMar>
          <w:top w:w="0" w:type="dxa"/>
          <w:left w:w="108" w:type="dxa"/>
          <w:bottom w:w="0" w:type="dxa"/>
          <w:right w:w="108" w:type="dxa"/>
        </w:tblCellMar>
      </w:tblPr>
      <w:tblGrid>
        <w:gridCol w:w="704"/>
        <w:gridCol w:w="1972"/>
        <w:gridCol w:w="1240"/>
        <w:gridCol w:w="1014"/>
        <w:gridCol w:w="1690"/>
        <w:gridCol w:w="1578"/>
        <w:gridCol w:w="1014"/>
      </w:tblGrid>
      <w:tr>
        <w:trPr>
          <w:tblHeader w:val="true"/>
          <w:cantSplit w:val="true"/>
          <w:trHeight w:val="482" w:hRule="atLeast"/>
        </w:trPr>
        <w:tc>
          <w:tcPr>
            <w:tcW w:type="dxa" w:w="7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97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建构筑物名称</w:t>
            </w:r>
          </w:p>
        </w:tc>
        <w:tc>
          <w:tcPr>
            <w:tcW w:type="dxa" w:w="12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火灾危险性类别</w:t>
            </w:r>
          </w:p>
        </w:tc>
        <w:tc>
          <w:tcPr>
            <w:tcW w:type="dxa" w:w="101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耐火等级</w:t>
            </w:r>
          </w:p>
        </w:tc>
        <w:tc>
          <w:tcPr>
            <w:tcW w:type="dxa" w:w="169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结构形式</w:t>
            </w:r>
          </w:p>
        </w:tc>
        <w:tc>
          <w:tcPr>
            <w:tcW w:type="dxa" w:w="157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抗震设防类别</w:t>
            </w:r>
          </w:p>
        </w:tc>
        <w:tc>
          <w:tcPr>
            <w:tcW w:type="dxa" w:w="101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钢结构</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民用</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二级</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框架</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before="0" w:after="0" w:lineRule="exact" w:line="540"/>
        <w:ind w:firstLine="0"/>
        <w:jc w:val="center"/>
      </w:pPr>
      <w:r>
        <w:rPr>
          <w:rFonts w:ascii="宋体" w:hAnsi="宋体" w:eastAsia="宋体" w:cs="宋体" w:hint="eastAsia"/>
          <w:b w:val="0"/>
          <w:i w:val="0"/>
          <w:sz w:val="28"/>
        </w:rPr>
        <w:t>表4-2-2 主要建构筑物防火间距检查表</w:t>
      </w:r>
    </w:p>
    <w:tbl>
      <w:tblPr>
        <w:tblW w:w="9213" w:type="dxa"/>
        <w:jc w:val="center"/>
        <w:tblInd w:w="0" w:type="dxa"/>
        <w:tblLayout w:type="fixed"/>
        <w:tblCellMar>
          <w:top w:w="0" w:type="dxa"/>
          <w:left w:w="108" w:type="dxa"/>
          <w:bottom w:w="0" w:type="dxa"/>
          <w:right w:w="108" w:type="dxa"/>
        </w:tblCellMar>
      </w:tblPr>
      <w:tblGrid>
        <w:gridCol w:w="1645"/>
        <w:gridCol w:w="685"/>
        <w:gridCol w:w="2084"/>
        <w:gridCol w:w="740"/>
        <w:gridCol w:w="740"/>
        <w:gridCol w:w="2660"/>
        <w:gridCol w:w="658"/>
      </w:tblGrid>
      <w:tr>
        <w:trPr>
          <w:tblHeader w:val="true"/>
          <w:cantSplit w:val="true"/>
          <w:trHeight w:val="482" w:hRule="atLeast"/>
        </w:trPr>
        <w:tc>
          <w:tcPr>
            <w:tcW w:type="dxa" w:w="16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厂内建（构）筑物名称</w:t>
            </w:r>
          </w:p>
        </w:tc>
        <w:tc>
          <w:tcPr>
            <w:tcW w:type="dxa" w:w="68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方位</w:t>
            </w:r>
          </w:p>
        </w:tc>
        <w:tc>
          <w:tcPr>
            <w:tcW w:type="dxa" w:w="208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周边相邻建（构）筑物</w:t>
            </w:r>
          </w:p>
        </w:tc>
        <w:tc>
          <w:tcPr>
            <w:tcW w:type="dxa" w:w="7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设计距离(m)</w:t>
            </w:r>
          </w:p>
        </w:tc>
        <w:tc>
          <w:tcPr>
            <w:tcW w:type="dxa" w:w="7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标准距离(m)</w:t>
            </w:r>
          </w:p>
        </w:tc>
        <w:tc>
          <w:tcPr>
            <w:tcW w:type="dxa" w:w="26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依据标准</w:t>
            </w:r>
          </w:p>
        </w:tc>
        <w:tc>
          <w:tcPr>
            <w:tcW w:type="dxa" w:w="6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符合性</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《建筑设计防火规范》GB 50016-2014（2018 年版）相关条款</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待实测核定</w:t>
            </w:r>
          </w:p>
        </w:tc>
      </w:tr>
    </w:tbl>
    <w:p>
      <w:pPr>
        <w:keepNext/>
        <w:spacing w:before="0" w:after="0" w:lineRule="exact" w:line="540"/>
        <w:ind w:firstLine="0"/>
        <w:jc w:val="center"/>
      </w:pPr>
      <w:r>
        <w:rPr>
          <w:rFonts w:ascii="宋体" w:hAnsi="宋体" w:eastAsia="宋体" w:cs="宋体" w:hint="eastAsia"/>
          <w:b w:val="0"/>
          <w:i w:val="0"/>
          <w:sz w:val="28"/>
        </w:rPr>
        <w:t>表4-2-3 防火分区与安全疏散检查表</w:t>
      </w:r>
    </w:p>
    <w:tbl>
      <w:tblPr>
        <w:tblW w:w="9213" w:type="dxa"/>
        <w:jc w:val="center"/>
        <w:tblInd w:w="0" w:type="dxa"/>
        <w:tblLayout w:type="fixed"/>
        <w:tblCellMar>
          <w:top w:w="0" w:type="dxa"/>
          <w:left w:w="108" w:type="dxa"/>
          <w:bottom w:w="0" w:type="dxa"/>
          <w:right w:w="108" w:type="dxa"/>
        </w:tblCellMar>
      </w:tblPr>
      <w:tblGrid>
        <w:gridCol w:w="1974"/>
        <w:gridCol w:w="1316"/>
        <w:gridCol w:w="1206"/>
        <w:gridCol w:w="1755"/>
        <w:gridCol w:w="1316"/>
        <w:gridCol w:w="1645"/>
      </w:tblGrid>
      <w:tr>
        <w:trPr>
          <w:tblHeader w:val="true"/>
          <w:cantSplit w:val="true"/>
          <w:trHeight w:val="482" w:hRule="atLeast"/>
        </w:trPr>
        <w:tc>
          <w:tcPr>
            <w:tcW w:type="dxa" w:w="19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w:t>
            </w:r>
          </w:p>
        </w:tc>
        <w:tc>
          <w:tcPr>
            <w:tcW w:type="dxa" w:w="13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火灾危险性</w:t>
            </w:r>
          </w:p>
        </w:tc>
        <w:tc>
          <w:tcPr>
            <w:tcW w:type="dxa" w:w="120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耐火等级</w:t>
            </w:r>
          </w:p>
        </w:tc>
        <w:tc>
          <w:tcPr>
            <w:tcW w:type="dxa" w:w="17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防火分区面积(m²)</w:t>
            </w:r>
          </w:p>
        </w:tc>
        <w:tc>
          <w:tcPr>
            <w:tcW w:type="dxa" w:w="13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安全出口数量</w:t>
            </w:r>
          </w:p>
        </w:tc>
        <w:tc>
          <w:tcPr>
            <w:tcW w:type="dxa" w:w="16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最远疏散距离(m)</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6000 ㎡（限值 8000 ㎡）</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不少于 2 个</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不少于 2 个（GB 50016 第3.8.2条）</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按 GB 50016 第3.8节仓库安全疏散要求控制；本栋 28×22 m，最远两点直线距离 35 m</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丙类</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二级</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不少于 2 个（GB 50016 第3.8.2条）</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按 GB 50016 第3.8节仓库安全疏散要求控制；本栋 26×20 m，最远两点直线距离 32 m</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民用</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二级</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500 ㎡，整栋 1 个防火分区（限值 2500 ㎡，GB 50016 表5.3.1）</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不少于 2 个（GB 50016 第5.5.8条）</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按 GB 50016 第5.5.17条控制；本栋 26×20 m，最远两点直线距离 32 m</w:t>
            </w:r>
          </w:p>
        </w:tc>
      </w:tr>
    </w:tbl>
    <w:p>
      <w:pPr>
        <w:keepNext/>
        <w:spacing w:before="0" w:after="0" w:lineRule="exact" w:line="540"/>
        <w:ind w:firstLine="0"/>
        <w:jc w:val="center"/>
      </w:pPr>
      <w:r>
        <w:rPr>
          <w:rFonts w:ascii="宋体" w:hAnsi="宋体" w:eastAsia="宋体" w:cs="宋体" w:hint="eastAsia"/>
          <w:b w:val="0"/>
          <w:i w:val="0"/>
          <w:sz w:val="28"/>
        </w:rPr>
        <w:t>表4-2-4 安全疏散设施配置表</w:t>
      </w:r>
    </w:p>
    <w:tbl>
      <w:tblPr>
        <w:tblW w:w="9213" w:type="dxa"/>
        <w:jc w:val="center"/>
        <w:tblInd w:w="0" w:type="dxa"/>
        <w:tblLayout w:type="fixed"/>
        <w:tblCellMar>
          <w:top w:w="0" w:type="dxa"/>
          <w:left w:w="108" w:type="dxa"/>
          <w:bottom w:w="0" w:type="dxa"/>
          <w:right w:w="108" w:type="dxa"/>
        </w:tblCellMar>
      </w:tblPr>
      <w:tblGrid>
        <w:gridCol w:w="1908"/>
        <w:gridCol w:w="1312"/>
        <w:gridCol w:w="1670"/>
        <w:gridCol w:w="1431"/>
        <w:gridCol w:w="1073"/>
        <w:gridCol w:w="1073"/>
        <w:gridCol w:w="745"/>
      </w:tblGrid>
      <w:tr>
        <w:trPr>
          <w:tblHeader w:val="true"/>
          <w:cantSplit w:val="true"/>
          <w:trHeight w:val="482" w:hRule="atLeast"/>
        </w:trPr>
        <w:tc>
          <w:tcPr>
            <w:tcW w:type="dxa" w:w="19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建构筑物</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安全出口数量</w:t>
            </w:r>
          </w:p>
        </w:tc>
        <w:tc>
          <w:tcPr>
            <w:tcW w:type="dxa" w:w="16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最大疏散距离(m)</w:t>
            </w:r>
          </w:p>
        </w:tc>
        <w:tc>
          <w:tcPr>
            <w:tcW w:type="dxa" w:w="14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疏散宽度(m)</w:t>
            </w:r>
          </w:p>
        </w:tc>
        <w:tc>
          <w:tcPr>
            <w:tcW w:type="dxa" w:w="10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应急照明</w:t>
            </w:r>
          </w:p>
        </w:tc>
        <w:tc>
          <w:tcPr>
            <w:tcW w:type="dxa" w:w="10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疏散指示</w:t>
            </w:r>
          </w:p>
        </w:tc>
        <w:tc>
          <w:tcPr>
            <w:tcW w:type="dxa" w:w="74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结论</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待核定</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待核定</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成品库</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待核定</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综合办公楼</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设置</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待核定</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5重大危险源分析及检测监控</w:t>
      </w:r>
    </w:p>
    <w:p>
      <w:pPr>
        <w:pStyle w:val="Heading2"/>
        <w:keepNext/>
        <w:spacing w:lineRule="exact" w:line="540" w:before="120" w:after="120"/>
        <w:ind w:firstLine="0"/>
        <w:jc w:val="both"/>
      </w:pPr>
      <w:r>
        <w:rPr>
          <w:rFonts w:ascii="楷体" w:hAnsi="楷体" w:eastAsia="楷体" w:cs="楷体" w:hint="eastAsia"/>
          <w:b w:val="0"/>
          <w:i w:val="0"/>
          <w:sz w:val="32"/>
          <w:color w:val="000000"/>
        </w:rPr>
        <w:t>5.1危险化学品重大危险源</w:t>
      </w:r>
    </w:p>
    <w:p>
      <w:pPr>
        <w:spacing w:lineRule="exact" w:line="540" w:before="0" w:after="0"/>
        <w:ind w:firstLineChars="200" w:firstLine="280"/>
        <w:jc w:val="both"/>
      </w:pPr>
      <w:r>
        <w:rPr>
          <w:rFonts w:ascii="宋体" w:hAnsi="宋体" w:eastAsia="宋体" w:cs="宋体" w:hint="eastAsia"/>
          <w:b w:val="0"/>
          <w:i w:val="0"/>
          <w:sz w:val="28"/>
        </w:rPr>
        <w:t>（1）辨识依据与方法。依据《危险化学品重大危险源辨识》GB 18218-2018，危险化学品重大危险源是指长期地或者临时地生产、加工、使用或者储存危险化学品，且危险化学品的数量等于或者超过临界量的单元。辨识按式 Σ(qi/Qi)≥1 判定，式中 qi 为每种危险化学品的实际存在量（t），Qi 为对应的临界量（t）。单元划分以边缘距离小于 500 m 的独立生产装置、储存设施或场所为一个单元。</w:t>
      </w:r>
    </w:p>
    <w:p>
      <w:pPr>
        <w:spacing w:lineRule="exact" w:line="540" w:before="0" w:after="0"/>
        <w:ind w:firstLineChars="200" w:firstLine="280"/>
        <w:jc w:val="both"/>
      </w:pPr>
      <w:r>
        <w:rPr>
          <w:rFonts w:ascii="宋体" w:hAnsi="宋体" w:eastAsia="宋体" w:cs="宋体" w:hint="eastAsia"/>
          <w:b w:val="0"/>
          <w:i w:val="0"/>
          <w:sz w:val="28"/>
        </w:rPr>
        <w:t>（2）辨识范围。本次辨识覆盖建设单位提供的全部原辅材料、燃料、润滑油脂及气瓶，包括生产场所内的中间物料与储存场所内的最大存在量；未在《危险化学品目录》内列明的物料，不作为危险化学品统计。</w:t>
      </w:r>
    </w:p>
    <w:p>
      <w:pPr>
        <w:spacing w:lineRule="exact" w:line="540" w:before="0" w:after="0"/>
        <w:ind w:firstLineChars="200" w:firstLine="280"/>
        <w:jc w:val="both"/>
      </w:pPr>
      <w:r>
        <w:rPr>
          <w:rFonts w:ascii="宋体" w:hAnsi="宋体" w:eastAsia="宋体" w:cs="宋体" w:hint="eastAsia"/>
          <w:b w:val="0"/>
          <w:i w:val="0"/>
          <w:sz w:val="28"/>
        </w:rPr>
        <w:t>（3）逐项辨识结果。按建设单位提供的最大贮量逐项计算 q/Q 值，结果见表 5-1-1。表中最大存在量取自建设单位提供的原辅材料清单，临界量取自 GB 18218-2018 表 1；标准表 1 未列明的物质，其临界量按表 2 或《危险化学品目录》附件确定，仍无法确定的标注为待核定，本专篇不自行取值。</w:t>
      </w:r>
    </w:p>
    <w:p>
      <w:pPr>
        <w:spacing w:lineRule="exact" w:line="540" w:before="0" w:after="0"/>
        <w:ind w:firstLineChars="200" w:firstLine="280"/>
        <w:jc w:val="both"/>
      </w:pPr>
      <w:r>
        <w:rPr>
          <w:rFonts w:ascii="宋体" w:hAnsi="宋体" w:eastAsia="宋体" w:cs="宋体" w:hint="eastAsia"/>
          <w:b w:val="0"/>
          <w:i w:val="0"/>
          <w:sz w:val="28"/>
        </w:rPr>
        <w:t>（4）辨识结论。现有可定量物质 Σq/Q=0.010&lt;1；二氧化碳气瓶 属 GB 18218-2018 表1 列明物质，但资料未给出可换算为吨的最大贮量，暂不能判定是否构成重大危险源，建设单位补充最大贮量后应重新核算。</w:t>
      </w:r>
    </w:p>
    <w:p>
      <w:pPr>
        <w:spacing w:lineRule="exact" w:line="540" w:before="0" w:after="0"/>
        <w:ind w:firstLineChars="200" w:firstLine="280"/>
        <w:jc w:val="both"/>
      </w:pPr>
      <w:r>
        <w:rPr>
          <w:rFonts w:ascii="宋体" w:hAnsi="宋体" w:eastAsia="宋体" w:cs="宋体" w:hint="eastAsia"/>
          <w:b w:val="0"/>
          <w:i w:val="0"/>
          <w:sz w:val="28"/>
        </w:rPr>
        <w:t>（5）动态管理要求。项目投产前应依据实际采购量、储存方式与总图布置复核一次；生产过程中物料种类、最大贮量、储存位置发生变化，或者新增危险化学品时，应及时重新辨识。构成重大危险源的，应按《危险化学品重大危险源监督管理暂行规定》开展安全评估、登记建档、设置安全监测监控系统，并制定专项应急预案。</w:t>
      </w:r>
    </w:p>
    <w:p>
      <w:pPr>
        <w:keepNext/>
        <w:spacing w:before="0" w:after="0" w:lineRule="exact" w:line="540"/>
        <w:ind w:firstLine="0"/>
        <w:jc w:val="center"/>
      </w:pPr>
      <w:r>
        <w:rPr>
          <w:rFonts w:ascii="宋体" w:hAnsi="宋体" w:eastAsia="宋体" w:cs="宋体" w:hint="eastAsia"/>
          <w:b w:val="0"/>
          <w:i w:val="0"/>
          <w:sz w:val="28"/>
        </w:rPr>
        <w:t>表5-1-1 危险化学品重大危险源辨识表（GB 18218-2018）</w:t>
      </w:r>
    </w:p>
    <w:tbl>
      <w:tblPr>
        <w:tblW w:w="9213" w:type="dxa"/>
        <w:jc w:val="center"/>
        <w:tblInd w:w="0" w:type="dxa"/>
        <w:tblLayout w:type="fixed"/>
        <w:tblCellMar>
          <w:top w:w="0" w:type="dxa"/>
          <w:left w:w="108" w:type="dxa"/>
          <w:bottom w:w="0" w:type="dxa"/>
          <w:right w:w="108" w:type="dxa"/>
        </w:tblCellMar>
      </w:tblPr>
      <w:tblGrid>
        <w:gridCol w:w="2303"/>
        <w:gridCol w:w="1843"/>
        <w:gridCol w:w="1727"/>
        <w:gridCol w:w="1382"/>
        <w:gridCol w:w="1958"/>
      </w:tblGrid>
      <w:tr>
        <w:trPr>
          <w:tblHeader w:val="true"/>
          <w:cantSplit w:val="true"/>
          <w:trHeight w:val="482" w:hRule="atLeast"/>
        </w:trPr>
        <w:tc>
          <w:tcPr>
            <w:tcW w:type="dxa" w:w="230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物质名称</w:t>
            </w:r>
          </w:p>
        </w:tc>
        <w:tc>
          <w:tcPr>
            <w:tcW w:type="dxa" w:w="18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最大存在量</w:t>
            </w:r>
          </w:p>
        </w:tc>
        <w:tc>
          <w:tcPr>
            <w:tcW w:type="dxa" w:w="17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临界量(t)</w:t>
            </w:r>
          </w:p>
        </w:tc>
        <w:tc>
          <w:tcPr>
            <w:tcW w:type="dxa" w:w="138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q/Q</w:t>
            </w:r>
          </w:p>
        </w:tc>
        <w:tc>
          <w:tcPr>
            <w:tcW w:type="dxa" w:w="19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辨识结论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非危险化学品（或公用工程介质），不纳入辨识</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0.010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已计入</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二氧化碳气瓶</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属表1列明物质，单位瓶待核定</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润滑油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0.5</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非危险化学品（或公用工程介质），不纳入辨识</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5.2重点危险场所及设备设施危险辨识</w:t>
      </w:r>
    </w:p>
    <w:p>
      <w:pPr>
        <w:spacing w:lineRule="exact" w:line="540" w:before="0" w:after="0"/>
        <w:ind w:firstLineChars="200" w:firstLine="280"/>
        <w:jc w:val="both"/>
      </w:pPr>
      <w:r>
        <w:rPr>
          <w:rFonts w:ascii="宋体" w:hAnsi="宋体" w:eastAsia="宋体" w:cs="宋体" w:hint="eastAsia"/>
          <w:b w:val="0"/>
          <w:i w:val="0"/>
          <w:sz w:val="28"/>
        </w:rPr>
        <w:t>（1）重点危险场所的确定原则。凡同时具备下列条件之一的场所，列为重点危险场所：存在可燃、易燃、有毒物料或粉尘；存在压力容器、锅炉等承压设备；存在高温、明火或电气火花；人员密集或者疏散困难；发生事故后可能影响周边单元。</w:t>
      </w:r>
    </w:p>
    <w:p>
      <w:pPr>
        <w:spacing w:lineRule="exact" w:line="540" w:before="0" w:after="0"/>
        <w:ind w:firstLineChars="200" w:firstLine="280"/>
        <w:jc w:val="both"/>
      </w:pPr>
      <w:r>
        <w:rPr>
          <w:rFonts w:ascii="宋体" w:hAnsi="宋体" w:eastAsia="宋体" w:cs="宋体" w:hint="eastAsia"/>
          <w:b w:val="0"/>
          <w:i w:val="0"/>
          <w:sz w:val="28"/>
        </w:rPr>
        <w:t>（2）本项目主要建构筑物及重点部位如下：</w:t>
      </w:r>
    </w:p>
    <w:p>
      <w:pPr>
        <w:spacing w:lineRule="exact" w:line="540" w:before="0" w:after="0"/>
        <w:ind w:firstLineChars="200" w:firstLine="280"/>
        <w:jc w:val="both"/>
      </w:pPr>
      <w:r>
        <w:rPr>
          <w:rFonts w:ascii="宋体" w:hAnsi="宋体" w:eastAsia="宋体" w:cs="宋体" w:hint="eastAsia"/>
          <w:b w:val="0"/>
          <w:i w:val="0"/>
          <w:sz w:val="28"/>
        </w:rPr>
        <w:t>（2）生产车间：主要功能为下料、机加工、焊接、装配、喷涂，火灾危险性类别 丙类，耐火等级 二级，建筑面积 6000 m²。该场所应作为防火分区、安全疏散与消防设施配置的重点。</w:t>
      </w:r>
    </w:p>
    <w:p>
      <w:pPr>
        <w:spacing w:lineRule="exact" w:line="540" w:before="0" w:after="0"/>
        <w:ind w:firstLineChars="200" w:firstLine="280"/>
        <w:jc w:val="both"/>
      </w:pPr>
      <w:r>
        <w:rPr>
          <w:rFonts w:ascii="宋体" w:hAnsi="宋体" w:eastAsia="宋体" w:cs="宋体" w:hint="eastAsia"/>
          <w:b w:val="0"/>
          <w:i w:val="0"/>
          <w:sz w:val="28"/>
        </w:rPr>
        <w:t>（3）原料库：主要功能为钢材存放，火灾危险性类别 丙类，耐火等级 二级，建筑面积 600 m²。该场所应作为防火分区、安全疏散与消防设施配置的重点。</w:t>
      </w:r>
    </w:p>
    <w:p>
      <w:pPr>
        <w:spacing w:lineRule="exact" w:line="540" w:before="0" w:after="0"/>
        <w:ind w:firstLineChars="200" w:firstLine="280"/>
        <w:jc w:val="both"/>
      </w:pPr>
      <w:r>
        <w:rPr>
          <w:rFonts w:ascii="宋体" w:hAnsi="宋体" w:eastAsia="宋体" w:cs="宋体" w:hint="eastAsia"/>
          <w:b w:val="0"/>
          <w:i w:val="0"/>
          <w:sz w:val="28"/>
        </w:rPr>
        <w:t>（4）成品库：主要功能为成品存放，火灾危险性类别 丙类，耐火等级 二级，建筑面积 500 m²。该场所应作为防火分区、安全疏散与消防设施配置的重点。</w:t>
      </w:r>
    </w:p>
    <w:p>
      <w:pPr>
        <w:spacing w:lineRule="exact" w:line="540" w:before="0" w:after="0"/>
        <w:ind w:firstLineChars="200" w:firstLine="280"/>
        <w:jc w:val="both"/>
      </w:pPr>
      <w:r>
        <w:rPr>
          <w:rFonts w:ascii="宋体" w:hAnsi="宋体" w:eastAsia="宋体" w:cs="宋体" w:hint="eastAsia"/>
          <w:b w:val="0"/>
          <w:i w:val="0"/>
          <w:sz w:val="28"/>
        </w:rPr>
        <w:t>（5）综合办公楼：主要功能为办公、会议、值班，火灾危险性类别 民用，耐火等级 二级，建筑面积 500 m²。该场所应作为防火分区、安全疏散与消防设施配置的重点。</w:t>
      </w:r>
    </w:p>
    <w:p>
      <w:pPr>
        <w:spacing w:lineRule="exact" w:line="540" w:before="0" w:after="0"/>
        <w:ind w:firstLineChars="200" w:firstLine="280"/>
        <w:jc w:val="both"/>
      </w:pPr>
      <w:r>
        <w:rPr>
          <w:rFonts w:ascii="宋体" w:hAnsi="宋体" w:eastAsia="宋体" w:cs="宋体" w:hint="eastAsia"/>
          <w:b w:val="0"/>
          <w:i w:val="0"/>
          <w:sz w:val="28"/>
        </w:rPr>
        <w:t>（3）设备安装部位涉及：生产车间、厂区。上述部位应结合设备类别设置防护罩、联锁、急停、接地、监测报警与灭火器材，并在总平面与设备布置图上标注。</w:t>
      </w:r>
    </w:p>
    <w:p>
      <w:pPr>
        <w:spacing w:lineRule="exact" w:line="540" w:before="0" w:after="0"/>
        <w:ind w:firstLineChars="200" w:firstLine="280"/>
        <w:jc w:val="both"/>
      </w:pPr>
      <w:r>
        <w:rPr>
          <w:rFonts w:ascii="宋体" w:hAnsi="宋体" w:eastAsia="宋体" w:cs="宋体" w:hint="eastAsia"/>
          <w:b w:val="0"/>
          <w:i w:val="0"/>
          <w:sz w:val="28"/>
        </w:rPr>
        <w:t>（4）重点危险场所应设置明显的安全警示标志与告知牌，明确主要危险有害因素、后果、防范措施与应急处置方法；进入重点危险场所作业应执行作业许可制度。重点危险场所及设备设施的危险辨识结果见表 5-2-1。</w:t>
      </w:r>
    </w:p>
    <w:p>
      <w:pPr>
        <w:keepNext/>
        <w:spacing w:before="0" w:after="0" w:lineRule="exact" w:line="540"/>
        <w:ind w:firstLine="0"/>
        <w:jc w:val="center"/>
      </w:pPr>
      <w:r>
        <w:rPr>
          <w:rFonts w:ascii="宋体" w:hAnsi="宋体" w:eastAsia="宋体" w:cs="宋体" w:hint="eastAsia"/>
          <w:b w:val="0"/>
          <w:i w:val="0"/>
          <w:sz w:val="28"/>
        </w:rPr>
        <w:t>表5-2-1 重点危险场所及设备设施危险辨识表</w:t>
      </w:r>
    </w:p>
    <w:tbl>
      <w:tblPr>
        <w:tblW w:w="9213" w:type="dxa"/>
        <w:jc w:val="center"/>
        <w:tblInd w:w="0" w:type="dxa"/>
        <w:tblLayout w:type="fixed"/>
        <w:tblCellMar>
          <w:top w:w="0" w:type="dxa"/>
          <w:left w:w="108" w:type="dxa"/>
          <w:bottom w:w="0" w:type="dxa"/>
          <w:right w:w="108" w:type="dxa"/>
        </w:tblCellMar>
      </w:tblPr>
      <w:tblGrid>
        <w:gridCol w:w="722"/>
        <w:gridCol w:w="2426"/>
        <w:gridCol w:w="2310"/>
        <w:gridCol w:w="3754"/>
      </w:tblGrid>
      <w:tr>
        <w:trPr>
          <w:tblHeader w:val="true"/>
          <w:cantSplit w:val="true"/>
          <w:trHeight w:val="482" w:hRule="atLeast"/>
        </w:trPr>
        <w:tc>
          <w:tcPr>
            <w:tcW w:type="dxa" w:w="72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4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重点危险场所及设备设施</w:t>
            </w:r>
          </w:p>
        </w:tc>
        <w:tc>
          <w:tcPr>
            <w:tcW w:type="dxa" w:w="231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存在的主要危险有害因素</w:t>
            </w:r>
          </w:p>
        </w:tc>
        <w:tc>
          <w:tcPr>
            <w:tcW w:type="dxa" w:w="37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危险有害因素分析</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物料存放区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火灾</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本项目涉及的原料、辅料及成品在储存、搬运过程中，若遇明火、电气火花或静电放电，可燃物料可能被引燃并蔓延成火灾；堆垛超高、通道堵塞会影响扑救与疏散。</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车床、铣床、锯床、电焊机等设备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设备防护罩、急停装置缺失或失效，转动部位与人员接触可造成挤压、卷入、切割伤害；电气线路绝缘破损、接地失效或带电检修可造成触电。</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配电设施</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触电、火灾</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配电柜、开关箱、线路过负荷、短路、接触不良或绝缘老化，可能引发电气火灾；保护接地失效、漏电保护失灵或带电作业可造成触电。</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粉尘作业岗位</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粉尘爆炸、火灾</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可燃粉尘在除尘管道、除尘器内积聚，达到爆炸浓度并遇点火源可发生粉尘爆炸；除尘系统未设置泄爆、隔爆装置时，爆炸可能沿管道传播。</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桥式起重机</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起重致害、物体打击</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钢丝绳磨损、吊钩缺陷、限位器或制动器失效，吊物坠落可造成物体打击；吊装半径内站人、指挥信号不清可造成挤压、撞击伤害。</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5.3检测与监控系统</w:t>
      </w:r>
    </w:p>
    <w:p>
      <w:pPr>
        <w:spacing w:lineRule="exact" w:line="540" w:before="0" w:after="0"/>
        <w:ind w:firstLineChars="200" w:firstLine="280"/>
        <w:jc w:val="both"/>
      </w:pPr>
      <w:r>
        <w:rPr>
          <w:rFonts w:ascii="宋体" w:hAnsi="宋体" w:eastAsia="宋体" w:cs="宋体" w:hint="eastAsia"/>
          <w:b w:val="0"/>
          <w:i w:val="0"/>
          <w:sz w:val="28"/>
        </w:rPr>
        <w:t>（1）检测与监控系统的设置原则。检测与监控系统按“先工艺参数、后环境参数，先报警、后联锁”的顺序设置；报警信号接入有人值守的控制室或值班室，并具备声光报警、历史记录与故障自诊断功能。</w:t>
      </w:r>
    </w:p>
    <w:p>
      <w:pPr>
        <w:spacing w:lineRule="exact" w:line="540" w:before="0" w:after="0"/>
        <w:ind w:firstLineChars="200" w:firstLine="280"/>
        <w:jc w:val="both"/>
      </w:pPr>
      <w:r>
        <w:rPr>
          <w:rFonts w:ascii="宋体" w:hAnsi="宋体" w:eastAsia="宋体" w:cs="宋体" w:hint="eastAsia"/>
          <w:b w:val="0"/>
          <w:i w:val="0"/>
          <w:sz w:val="28"/>
        </w:rPr>
        <w:t>（2）可燃气体检测。本项目现有资料未列明可燃气体使用场所；如施工图阶段确需使用天然气、乙炔等气体，应补设可燃气体探测器并纳入联锁。</w:t>
      </w:r>
    </w:p>
    <w:p>
      <w:pPr>
        <w:spacing w:lineRule="exact" w:line="540" w:before="0" w:after="0"/>
        <w:ind w:firstLineChars="200" w:firstLine="280"/>
        <w:jc w:val="both"/>
      </w:pPr>
      <w:r>
        <w:rPr>
          <w:rFonts w:ascii="宋体" w:hAnsi="宋体" w:eastAsia="宋体" w:cs="宋体" w:hint="eastAsia"/>
          <w:b w:val="0"/>
          <w:i w:val="0"/>
          <w:sz w:val="28"/>
        </w:rPr>
        <w:t>（3）粉尘防爆监测。除尘系统应设置除尘器进出口压差监测、灰斗温度监测、火花探测与熄除装置；压差、温度超限时报警并联动停机。除尘器应设置泄爆装置，泄爆方向不得朝向人员密集场所与主要通道。</w:t>
      </w:r>
    </w:p>
    <w:p>
      <w:pPr>
        <w:spacing w:lineRule="exact" w:line="540" w:before="0" w:after="0"/>
        <w:ind w:firstLineChars="200" w:firstLine="280"/>
        <w:jc w:val="both"/>
      </w:pPr>
      <w:r>
        <w:rPr>
          <w:rFonts w:ascii="宋体" w:hAnsi="宋体" w:eastAsia="宋体" w:cs="宋体" w:hint="eastAsia"/>
          <w:b w:val="0"/>
          <w:i w:val="0"/>
          <w:sz w:val="28"/>
        </w:rPr>
        <w:t>（4）承压设备监测。储气罐等压力容器应设置压力表、安全阀与排污装置，安全阀定期校验。</w:t>
      </w:r>
    </w:p>
    <w:p>
      <w:pPr>
        <w:spacing w:lineRule="exact" w:line="540" w:before="0" w:after="0"/>
        <w:ind w:firstLineChars="200" w:firstLine="280"/>
        <w:jc w:val="both"/>
      </w:pPr>
      <w:r>
        <w:rPr>
          <w:rFonts w:ascii="宋体" w:hAnsi="宋体" w:eastAsia="宋体" w:cs="宋体" w:hint="eastAsia"/>
          <w:b w:val="0"/>
          <w:i w:val="0"/>
          <w:sz w:val="28"/>
        </w:rPr>
        <w:t>（5）消防与电气监测。设置火灾自动报警系统、消防水池水位监测、消防泵状态监测与电气火灾监控系统；变配电室设置温度、湿度与门禁监测，重要回路设置过载、短路与漏电保护。</w:t>
      </w:r>
    </w:p>
    <w:p>
      <w:pPr>
        <w:spacing w:lineRule="exact" w:line="540" w:before="0" w:after="0"/>
        <w:ind w:firstLineChars="200" w:firstLine="280"/>
        <w:jc w:val="both"/>
      </w:pPr>
      <w:r>
        <w:rPr>
          <w:rFonts w:ascii="宋体" w:hAnsi="宋体" w:eastAsia="宋体" w:cs="宋体" w:hint="eastAsia"/>
          <w:b w:val="0"/>
          <w:i w:val="0"/>
          <w:sz w:val="28"/>
        </w:rPr>
        <w:t>（6）视频与人员管理。厂区出入口、主要通道、装卸区、危险场所设置视频监控，录像保存时间不少于 30 天；进入重点危险场所实行人员登记与作业许可。检测与监控点位见表 5-3-1，具体型号与数量在施工图阶段确定。</w:t>
      </w:r>
    </w:p>
    <w:p>
      <w:pPr>
        <w:keepNext/>
        <w:spacing w:before="0" w:after="0" w:lineRule="exact" w:line="540"/>
        <w:ind w:firstLine="0"/>
        <w:jc w:val="center"/>
      </w:pPr>
      <w:r>
        <w:rPr>
          <w:rFonts w:ascii="宋体" w:hAnsi="宋体" w:eastAsia="宋体" w:cs="宋体" w:hint="eastAsia"/>
          <w:b w:val="0"/>
          <w:i w:val="0"/>
          <w:sz w:val="28"/>
        </w:rPr>
        <w:t>表5-3-1 检测与监控系统配置表</w:t>
      </w:r>
    </w:p>
    <w:tbl>
      <w:tblPr>
        <w:tblW w:w="9213" w:type="dxa"/>
        <w:jc w:val="center"/>
        <w:tblInd w:w="0" w:type="dxa"/>
        <w:tblLayout w:type="fixed"/>
        <w:tblCellMar>
          <w:top w:w="0" w:type="dxa"/>
          <w:left w:w="108" w:type="dxa"/>
          <w:bottom w:w="0" w:type="dxa"/>
          <w:right w:w="108" w:type="dxa"/>
        </w:tblCellMar>
      </w:tblPr>
      <w:tblGrid>
        <w:gridCol w:w="652"/>
        <w:gridCol w:w="1670"/>
        <w:gridCol w:w="2192"/>
        <w:gridCol w:w="2819"/>
        <w:gridCol w:w="1879"/>
      </w:tblGrid>
      <w:tr>
        <w:trPr>
          <w:tblHeader w:val="true"/>
          <w:cantSplit w:val="true"/>
          <w:trHeight w:val="482" w:hRule="atLeast"/>
        </w:trPr>
        <w:tc>
          <w:tcPr>
            <w:tcW w:type="dxa" w:w="6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6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监测对象</w:t>
            </w:r>
          </w:p>
        </w:tc>
        <w:tc>
          <w:tcPr>
            <w:tcW w:type="dxa" w:w="21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监测项目</w:t>
            </w:r>
          </w:p>
        </w:tc>
        <w:tc>
          <w:tcPr>
            <w:tcW w:type="dxa" w:w="281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报警/联锁要求</w:t>
            </w:r>
          </w:p>
        </w:tc>
        <w:tc>
          <w:tcPr>
            <w:tcW w:type="dxa" w:w="18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设置部位</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除尘系统</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除尘器进出口压差、灰斗温度</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压差或温度超限报警并联动停机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除尘器及控制柜</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粉尘输送、筛分部位</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火花探测、运行状态</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探测到火花报警并启动熄除装置</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除尘管道及关键转运点</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压力容器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压力</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超压报警、安全阀自动泄放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设备本体</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变配电室及重要回路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电流、电压、温度、漏电</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过载、短路、超温报警并切断故障回路</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变配电室及配电柜</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消防系统</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消防水池水位、消防泵状态、报警信号</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水位低报警、泵故障报警、火警联动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消防控制室</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厂区出入口及重点部位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视频图像、人员出入</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异常事件录像保存不少于 30 天</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出入口、装卸区、危险场所</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6安全设施设计采取的防范措施</w:t>
      </w:r>
    </w:p>
    <w:p>
      <w:pPr>
        <w:pStyle w:val="Heading2"/>
        <w:keepNext/>
        <w:spacing w:lineRule="exact" w:line="540" w:before="120" w:after="120"/>
        <w:ind w:firstLine="0"/>
        <w:jc w:val="both"/>
      </w:pPr>
      <w:r>
        <w:rPr>
          <w:rFonts w:ascii="楷体" w:hAnsi="楷体" w:eastAsia="楷体" w:cs="楷体" w:hint="eastAsia"/>
          <w:b w:val="0"/>
          <w:i w:val="0"/>
          <w:sz w:val="32"/>
          <w:color w:val="000000"/>
        </w:rPr>
        <w:t>6.1危险物料安全措施</w:t>
      </w:r>
    </w:p>
    <w:p>
      <w:pPr>
        <w:spacing w:lineRule="exact" w:line="540" w:before="0" w:after="0"/>
        <w:ind w:firstLineChars="200" w:firstLine="280"/>
        <w:jc w:val="both"/>
      </w:pPr>
      <w:r>
        <w:rPr>
          <w:rFonts w:ascii="宋体" w:hAnsi="宋体" w:eastAsia="宋体" w:cs="宋体" w:hint="eastAsia"/>
          <w:b w:val="0"/>
          <w:i w:val="0"/>
          <w:sz w:val="28"/>
        </w:rPr>
        <w:t>（1）危险物料清单。本项目主要原辅材料及储存情况为：钢材，危险性 不燃，最大贮量 60t，储存于原料库；环氧粉末涂料，危险性 可燃，最大贮量 2t，储存于生产车间；二氧化碳气瓶，危险性 承压，最大贮量 20瓶，储存于生产车间；润滑油，危险性 可燃，最大贮量 0.5t，储存于原料库。逐项危险性见附表 4。</w:t>
      </w:r>
    </w:p>
    <w:p>
      <w:pPr>
        <w:spacing w:lineRule="exact" w:line="540" w:before="0" w:after="0"/>
        <w:ind w:firstLineChars="200" w:firstLine="280"/>
        <w:jc w:val="both"/>
      </w:pPr>
      <w:r>
        <w:rPr>
          <w:rFonts w:ascii="宋体" w:hAnsi="宋体" w:eastAsia="宋体" w:cs="宋体" w:hint="eastAsia"/>
          <w:b w:val="0"/>
          <w:i w:val="0"/>
          <w:sz w:val="28"/>
        </w:rPr>
        <w:t>（2）储存安全措施。物料储存按其安全技术说明书（SDS）规定的储存条件分类存放，保持包装完好、标识清晰，储存区设置消防器材与泄漏应急物资。</w:t>
      </w:r>
    </w:p>
    <w:p>
      <w:pPr>
        <w:spacing w:lineRule="exact" w:line="540" w:before="0" w:after="0"/>
        <w:ind w:firstLineChars="200" w:firstLine="280"/>
        <w:jc w:val="both"/>
      </w:pPr>
      <w:r>
        <w:rPr>
          <w:rFonts w:ascii="宋体" w:hAnsi="宋体" w:eastAsia="宋体" w:cs="宋体" w:hint="eastAsia"/>
          <w:b w:val="0"/>
          <w:i w:val="0"/>
          <w:sz w:val="28"/>
        </w:rPr>
        <w:t>（3）管理措施。建立原辅材料台账与出入库记录，按 SDS 要求储存和使用；储存场所的耐火等级、防火分区、防爆电气选型与通风换气次数由设计单位按《建筑设计防火规范》GB 50016、《爆炸危险环境电力装置设计规范》GB 50058 在施工图阶段核定。安全设施配置见表6-1-1。</w:t>
      </w:r>
    </w:p>
    <w:p>
      <w:pPr>
        <w:keepNext/>
        <w:spacing w:before="0" w:after="0" w:lineRule="exact" w:line="540"/>
        <w:ind w:firstLine="0"/>
        <w:jc w:val="center"/>
      </w:pPr>
      <w:r>
        <w:rPr>
          <w:rFonts w:ascii="宋体" w:hAnsi="宋体" w:eastAsia="宋体" w:cs="宋体" w:hint="eastAsia"/>
          <w:b w:val="0"/>
          <w:i w:val="0"/>
          <w:sz w:val="28"/>
        </w:rPr>
        <w:t>表6-1-1 原辅材料储存安全设施配置表</w:t>
      </w:r>
    </w:p>
    <w:tbl>
      <w:tblPr>
        <w:tblW w:w="9213" w:type="dxa"/>
        <w:jc w:val="center"/>
        <w:tblInd w:w="0" w:type="dxa"/>
        <w:tblLayout w:type="fixed"/>
        <w:tblCellMar>
          <w:top w:w="0" w:type="dxa"/>
          <w:left w:w="108" w:type="dxa"/>
          <w:bottom w:w="0" w:type="dxa"/>
          <w:right w:w="108" w:type="dxa"/>
        </w:tblCellMar>
      </w:tblPr>
      <w:tblGrid>
        <w:gridCol w:w="692"/>
        <w:gridCol w:w="1771"/>
        <w:gridCol w:w="1660"/>
        <w:gridCol w:w="1549"/>
        <w:gridCol w:w="1881"/>
        <w:gridCol w:w="1660"/>
      </w:tblGrid>
      <w:tr>
        <w:trPr>
          <w:tblHeader w:val="true"/>
          <w:cantSplit w:val="true"/>
          <w:trHeight w:val="482" w:hRule="atLeast"/>
        </w:trPr>
        <w:tc>
          <w:tcPr>
            <w:tcW w:type="dxa" w:w="6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77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物料名称</w:t>
            </w:r>
          </w:p>
        </w:tc>
        <w:tc>
          <w:tcPr>
            <w:tcW w:type="dxa" w:w="16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储存位置</w:t>
            </w:r>
          </w:p>
        </w:tc>
        <w:tc>
          <w:tcPr>
            <w:tcW w:type="dxa" w:w="154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储存方式</w:t>
            </w:r>
          </w:p>
        </w:tc>
        <w:tc>
          <w:tcPr>
            <w:tcW w:type="dxa" w:w="18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安全设施</w:t>
            </w:r>
          </w:p>
        </w:tc>
        <w:tc>
          <w:tcPr>
            <w:tcW w:type="dxa" w:w="16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应急处置</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原料库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分类分区、通风、防潮、禁火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灭火器材、警戒带、防护手套</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分类分区、通风、防潮、禁火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灭火器材、警戒带、防护手套</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二氧化碳气瓶</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分类分区、通风、泄漏报警、禁火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灭火器材、堵漏工具、防毒面具</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润滑油</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原料库</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分类分区、围堰防泄漏、通风、禁火</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灭火器材、吸附材料、洗眼器</w:t>
            </w:r>
          </w:p>
        </w:tc>
      </w:tr>
    </w:tbl>
    <w:p>
      <w:pPr>
        <w:keepNext/>
        <w:spacing w:before="0" w:after="0" w:lineRule="exact" w:line="540"/>
        <w:ind w:firstLine="0"/>
        <w:jc w:val="center"/>
      </w:pPr>
      <w:r>
        <w:rPr>
          <w:rFonts w:ascii="宋体" w:hAnsi="宋体" w:eastAsia="宋体" w:cs="宋体" w:hint="eastAsia"/>
          <w:b w:val="0"/>
          <w:i w:val="0"/>
          <w:sz w:val="28"/>
        </w:rPr>
        <w:t>表6-1-2 危险物料应急处置设施配置表</w:t>
      </w:r>
    </w:p>
    <w:tbl>
      <w:tblPr>
        <w:tblW w:w="9213" w:type="dxa"/>
        <w:jc w:val="center"/>
        <w:tblInd w:w="0" w:type="dxa"/>
        <w:tblLayout w:type="fixed"/>
        <w:tblCellMar>
          <w:top w:w="0" w:type="dxa"/>
          <w:left w:w="108" w:type="dxa"/>
          <w:bottom w:w="0" w:type="dxa"/>
          <w:right w:w="108" w:type="dxa"/>
        </w:tblCellMar>
      </w:tblPr>
      <w:tblGrid>
        <w:gridCol w:w="1675"/>
        <w:gridCol w:w="1884"/>
        <w:gridCol w:w="1570"/>
        <w:gridCol w:w="1675"/>
        <w:gridCol w:w="1047"/>
        <w:gridCol w:w="1361"/>
      </w:tblGrid>
      <w:tr>
        <w:trPr>
          <w:tblHeader w:val="true"/>
          <w:cantSplit w:val="true"/>
          <w:trHeight w:val="482" w:hRule="atLeast"/>
        </w:trPr>
        <w:tc>
          <w:tcPr>
            <w:tcW w:type="dxa" w:w="167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物料名称</w:t>
            </w:r>
          </w:p>
        </w:tc>
        <w:tc>
          <w:tcPr>
            <w:tcW w:type="dxa" w:w="188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泄漏控制</w:t>
            </w:r>
          </w:p>
        </w:tc>
        <w:tc>
          <w:tcPr>
            <w:tcW w:type="dxa" w:w="15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灭火器材</w:t>
            </w:r>
          </w:p>
        </w:tc>
        <w:tc>
          <w:tcPr>
            <w:tcW w:type="dxa" w:w="167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人员防护</w:t>
            </w:r>
          </w:p>
        </w:tc>
        <w:tc>
          <w:tcPr>
            <w:tcW w:type="dxa" w:w="104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洗眼/淋洗</w:t>
            </w:r>
          </w:p>
        </w:tc>
        <w:tc>
          <w:tcPr>
            <w:tcW w:type="dxa" w:w="13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应急物资</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钢材</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防止散落、及时清扫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按火灾种类配置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防护手套</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不需要</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警戒带、清扫工具</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环氧粉末涂料</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防止散落、及时清扫</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按火灾种类配置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防护手套</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不需要</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警戒带、清扫工具</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二氧化碳气瓶</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关阀断气、通风、禁止一切火源</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按气体种类配置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防护手套、防护服</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需要</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堵漏工具、警戒带</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润滑油</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围堰、吸附、收集</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按火灾种类配置</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防护手套、防护靴</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设置</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吸附材料、应急沙袋、洗眼器</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6.2工艺流程及设备设施</w:t>
      </w:r>
    </w:p>
    <w:p>
      <w:pPr>
        <w:spacing w:lineRule="exact" w:line="540" w:before="0" w:after="0"/>
        <w:ind w:firstLineChars="200" w:firstLine="280"/>
        <w:jc w:val="both"/>
      </w:pPr>
      <w:r>
        <w:rPr>
          <w:rFonts w:ascii="宋体" w:hAnsi="宋体" w:eastAsia="宋体" w:cs="宋体" w:hint="eastAsia"/>
          <w:b w:val="0"/>
          <w:i w:val="0"/>
          <w:sz w:val="28"/>
        </w:rPr>
        <w:t>（1）工艺过程控制。按“原料入库 → 下料 → 机加工 → 焊接 → 装配 → 喷涂 → 检验入库”组织生产，各工序设置操作规程与工艺参数控制范围；开停车、异常工况与检维修执行作业许可和交接班确认。</w:t>
      </w:r>
    </w:p>
    <w:p>
      <w:pPr>
        <w:spacing w:lineRule="exact" w:line="540" w:before="0" w:after="0"/>
        <w:ind w:firstLineChars="200" w:firstLine="280"/>
        <w:jc w:val="both"/>
      </w:pPr>
      <w:r>
        <w:rPr>
          <w:rFonts w:ascii="宋体" w:hAnsi="宋体" w:eastAsia="宋体" w:cs="宋体" w:hint="eastAsia"/>
          <w:b w:val="0"/>
          <w:i w:val="0"/>
          <w:sz w:val="28"/>
        </w:rPr>
        <w:t>（2）设备设施安全措施。木工机械设置防护罩、防护栏与光电或双手操作装置，检修门设联锁停机，急停按钮布置在操作位可达位置；产尘工序密闭并设局部排风，除尘系统按可燃性粉尘设计，除尘器设泄爆、隔爆与压差监测，管道与设备可靠接地，定期清理积尘；厂内运输车辆持证操作、限速行驶，人流与物流分开，转弯与装卸区设置警示标志；用电设备设置漏电保护与保护接地，配电线路穿管敷设，检修执行停送电挂牌制度。</w:t>
      </w:r>
    </w:p>
    <w:p>
      <w:pPr>
        <w:spacing w:lineRule="exact" w:line="540" w:before="0" w:after="0"/>
        <w:ind w:firstLineChars="200" w:firstLine="280"/>
        <w:jc w:val="both"/>
      </w:pPr>
      <w:r>
        <w:rPr>
          <w:rFonts w:ascii="宋体" w:hAnsi="宋体" w:eastAsia="宋体" w:cs="宋体" w:hint="eastAsia"/>
          <w:b w:val="0"/>
          <w:i w:val="0"/>
          <w:sz w:val="28"/>
        </w:rPr>
        <w:t>（3）联锁与报警。涉及超温、超压、断料、堵料、火花探测等异常工况的设备，设置报警与联锁停机；联锁逻辑与设定值由设备供应商与设计单位在施工图阶段确认。安全设施配置见表6-2-1。</w:t>
      </w:r>
    </w:p>
    <w:p>
      <w:pPr>
        <w:keepNext/>
        <w:spacing w:before="0" w:after="0" w:lineRule="exact" w:line="540"/>
        <w:ind w:firstLine="0"/>
        <w:jc w:val="center"/>
      </w:pPr>
      <w:r>
        <w:rPr>
          <w:rFonts w:ascii="宋体" w:hAnsi="宋体" w:eastAsia="宋体" w:cs="宋体" w:hint="eastAsia"/>
          <w:b w:val="0"/>
          <w:i w:val="0"/>
          <w:sz w:val="28"/>
        </w:rPr>
        <w:t>表6-2-1 工艺设备安全设施配置表</w:t>
      </w:r>
    </w:p>
    <w:tbl>
      <w:tblPr>
        <w:tblW w:w="9213" w:type="dxa"/>
        <w:jc w:val="center"/>
        <w:tblInd w:w="0" w:type="dxa"/>
        <w:tblLayout w:type="fixed"/>
        <w:tblCellMar>
          <w:top w:w="0" w:type="dxa"/>
          <w:left w:w="108" w:type="dxa"/>
          <w:bottom w:w="0" w:type="dxa"/>
          <w:right w:w="108" w:type="dxa"/>
        </w:tblCellMar>
      </w:tblPr>
      <w:tblGrid>
        <w:gridCol w:w="675"/>
        <w:gridCol w:w="2161"/>
        <w:gridCol w:w="1837"/>
        <w:gridCol w:w="2377"/>
        <w:gridCol w:w="2161"/>
      </w:tblGrid>
      <w:tr>
        <w:trPr>
          <w:tblHeader w:val="true"/>
          <w:cantSplit w:val="true"/>
          <w:trHeight w:val="482" w:hRule="atLeast"/>
        </w:trPr>
        <w:tc>
          <w:tcPr>
            <w:tcW w:type="dxa" w:w="67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1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设备名称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危险因素</w:t>
            </w:r>
          </w:p>
        </w:tc>
        <w:tc>
          <w:tcPr>
            <w:tcW w:type="dxa" w:w="237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安全设施</w:t>
            </w:r>
          </w:p>
        </w:tc>
        <w:tc>
          <w:tcPr>
            <w:tcW w:type="dxa" w:w="21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监测与联锁</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车床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铣床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锯床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电焊机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触电、灼烫、火灾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保护接地与漏电保护、灭火器材与隔热防护</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喷涂设备</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机械致害、触电</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防护罩、联锁装置与急停装置、保护接地与漏电保护</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桥式起重机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起重致害、物体打击</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防护罩、联锁装置与急停装置、起重量限制器、行程限位器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急停、限位、报警</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叉车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厂（场）内车辆致害</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必要的安全防护装置</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急停、限位、报警</w:t>
            </w:r>
          </w:p>
        </w:tc>
      </w:tr>
    </w:tbl>
    <w:p>
      <w:pPr>
        <w:keepNext/>
        <w:spacing w:before="0" w:after="0" w:lineRule="exact" w:line="540"/>
        <w:ind w:firstLine="0"/>
        <w:jc w:val="center"/>
      </w:pPr>
      <w:r>
        <w:rPr>
          <w:rFonts w:ascii="宋体" w:hAnsi="宋体" w:eastAsia="宋体" w:cs="宋体" w:hint="eastAsia"/>
          <w:b w:val="0"/>
          <w:i w:val="0"/>
          <w:sz w:val="28"/>
        </w:rPr>
        <w:t>表6-2-2 安全联锁与监测报警装置配置表</w:t>
      </w:r>
    </w:p>
    <w:tbl>
      <w:tblPr>
        <w:tblW w:w="9213" w:type="dxa"/>
        <w:jc w:val="center"/>
        <w:tblInd w:w="0" w:type="dxa"/>
        <w:tblLayout w:type="fixed"/>
        <w:tblCellMar>
          <w:top w:w="0" w:type="dxa"/>
          <w:left w:w="108" w:type="dxa"/>
          <w:bottom w:w="0" w:type="dxa"/>
          <w:right w:w="108" w:type="dxa"/>
        </w:tblCellMar>
      </w:tblPr>
      <w:tblGrid>
        <w:gridCol w:w="688"/>
        <w:gridCol w:w="1870"/>
        <w:gridCol w:w="1760"/>
        <w:gridCol w:w="1760"/>
        <w:gridCol w:w="1980"/>
        <w:gridCol w:w="1155"/>
      </w:tblGrid>
      <w:tr>
        <w:trPr>
          <w:tblHeader w:val="true"/>
          <w:cantSplit w:val="true"/>
          <w:trHeight w:val="482" w:hRule="atLeast"/>
        </w:trPr>
        <w:tc>
          <w:tcPr>
            <w:tcW w:type="dxa" w:w="68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8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装置名称</w:t>
            </w:r>
          </w:p>
        </w:tc>
        <w:tc>
          <w:tcPr>
            <w:tcW w:type="dxa" w:w="17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设置部位</w:t>
            </w:r>
          </w:p>
        </w:tc>
        <w:tc>
          <w:tcPr>
            <w:tcW w:type="dxa" w:w="176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触发条件</w:t>
            </w:r>
          </w:p>
        </w:tc>
        <w:tc>
          <w:tcPr>
            <w:tcW w:type="dxa" w:w="198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联锁/报警动作</w:t>
            </w:r>
          </w:p>
        </w:tc>
        <w:tc>
          <w:tcPr>
            <w:tcW w:type="dxa" w:w="11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急停装置</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生产设备操作位</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人工按下</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切断设备动力</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防护罩联锁</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转动、传动部位</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防护罩被打开</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设备停机并报警</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粉尘浓度监测</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粉尘作业岗位</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浓度超限</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报警并停机</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温度/压力监测</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压力容器、蒸汽系统</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超温超压</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报警、联锁切断</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火灾自动报警</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生产车间、原料库、成品库</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火灾探测器动作</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报警并联动消防设施</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视频监控</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重点危险场所</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实时监视、录像留存</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6.3职业危害</w:t>
      </w:r>
    </w:p>
    <w:p>
      <w:pPr>
        <w:spacing w:lineRule="exact" w:line="540" w:before="0" w:after="0"/>
        <w:ind w:firstLineChars="200" w:firstLine="280"/>
        <w:jc w:val="both"/>
      </w:pPr>
      <w:r>
        <w:rPr>
          <w:rFonts w:ascii="宋体" w:hAnsi="宋体" w:eastAsia="宋体" w:cs="宋体" w:hint="eastAsia"/>
          <w:b w:val="0"/>
          <w:i w:val="0"/>
          <w:sz w:val="28"/>
        </w:rPr>
        <w:t>职业危害防护按“防尘、防毒、防噪声、防高温、防振动”分类设置。产生粉尘的破碎、筛分、输送与除尘环节采取密闭、局部排风与除尘净化；产生噪声的风机、空压机、破碎设备采取隔声、消声与减振；高温设备与管道采取保温隔热。职业危害防护设施见表 6-3-1，具体岗位接触限值与防护设施参数在施工图阶段按职业卫生评价结论确定。</w:t>
      </w:r>
    </w:p>
    <w:p>
      <w:pPr>
        <w:keepNext/>
        <w:spacing w:lineRule="exact" w:line="540" w:before="0" w:after="0"/>
        <w:ind w:firstLineChars="200" w:firstLine="280"/>
        <w:jc w:val="both"/>
      </w:pPr>
      <w:r>
        <w:rPr>
          <w:rFonts w:ascii="宋体" w:hAnsi="宋体" w:eastAsia="宋体" w:cs="宋体" w:hint="eastAsia"/>
          <w:b w:val="0"/>
          <w:i w:val="0"/>
          <w:sz w:val="28"/>
        </w:rPr>
        <w:t>设计计算结论（数值引自《安全设施设计计算书》，与计算书同源）：</w:t>
      </w:r>
    </w:p>
    <w:p>
      <w:pPr>
        <w:spacing w:lineRule="exact" w:line="540" w:before="0" w:after="0"/>
        <w:ind w:firstLineChars="200" w:firstLine="280"/>
        <w:jc w:val="both"/>
      </w:pPr>
      <w:r>
        <w:rPr>
          <w:rFonts w:ascii="宋体" w:hAnsi="宋体" w:eastAsia="宋体" w:cs="宋体" w:hint="eastAsia"/>
          <w:b w:val="0"/>
          <w:i w:val="0"/>
          <w:sz w:val="28"/>
        </w:rPr>
        <w:t>1. 事故通风量计算。依据《工业建筑供暖通风与空气调节设计规范》GB 50019-2015 第6.4.3条（事故通风）。结论：未识别出可能突然散发大量有害气体或有爆炸危险气体的场所，事故通风按常规通风设计。本项目不涉及，本项不适用。</w:t>
      </w:r>
    </w:p>
    <w:p>
      <w:pPr>
        <w:spacing w:lineRule="exact" w:line="540" w:before="0" w:after="0"/>
        <w:ind w:firstLineChars="200" w:firstLine="280"/>
        <w:jc w:val="both"/>
      </w:pPr>
      <w:r>
        <w:rPr>
          <w:rFonts w:ascii="宋体" w:hAnsi="宋体" w:eastAsia="宋体" w:cs="宋体" w:hint="eastAsia"/>
          <w:b w:val="0"/>
          <w:i w:val="0"/>
          <w:sz w:val="28"/>
        </w:rPr>
        <w:t>2. 事故淋浴与洗眼器设置。依据《工业企业设计卫生标准》GBZ 1-2010（事故淋浴与洗眼设备）。结论：未识别出酸碱等腐蚀性物料，本项不适用。本项目不涉及，本项不适用。</w:t>
      </w:r>
    </w:p>
    <w:p>
      <w:pPr>
        <w:keepNext/>
        <w:spacing w:before="0" w:after="0" w:lineRule="exact" w:line="540"/>
        <w:ind w:firstLine="0"/>
        <w:jc w:val="center"/>
      </w:pPr>
      <w:r>
        <w:rPr>
          <w:rFonts w:ascii="宋体" w:hAnsi="宋体" w:eastAsia="宋体" w:cs="宋体" w:hint="eastAsia"/>
          <w:b w:val="0"/>
          <w:i w:val="0"/>
          <w:sz w:val="28"/>
        </w:rPr>
        <w:t>表6-3-1 职业病危害防护设施配置表</w:t>
      </w:r>
    </w:p>
    <w:tbl>
      <w:tblPr>
        <w:tblW w:w="9213" w:type="dxa"/>
        <w:jc w:val="center"/>
        <w:tblInd w:w="0" w:type="dxa"/>
        <w:tblLayout w:type="fixed"/>
        <w:tblCellMar>
          <w:top w:w="0" w:type="dxa"/>
          <w:left w:w="108" w:type="dxa"/>
          <w:bottom w:w="0" w:type="dxa"/>
          <w:right w:w="108" w:type="dxa"/>
        </w:tblCellMar>
      </w:tblPr>
      <w:tblGrid>
        <w:gridCol w:w="1626"/>
        <w:gridCol w:w="1951"/>
        <w:gridCol w:w="2384"/>
        <w:gridCol w:w="1734"/>
        <w:gridCol w:w="1517"/>
      </w:tblGrid>
      <w:tr>
        <w:trPr>
          <w:tblHeader w:val="true"/>
          <w:cantSplit w:val="true"/>
          <w:trHeight w:val="482" w:hRule="atLeast"/>
        </w:trPr>
        <w:tc>
          <w:tcPr>
            <w:tcW w:type="dxa" w:w="16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危害因素</w:t>
            </w:r>
          </w:p>
        </w:tc>
        <w:tc>
          <w:tcPr>
            <w:tcW w:type="dxa" w:w="195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产生环节</w:t>
            </w:r>
          </w:p>
        </w:tc>
        <w:tc>
          <w:tcPr>
            <w:tcW w:type="dxa" w:w="238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防护设施</w:t>
            </w:r>
          </w:p>
        </w:tc>
        <w:tc>
          <w:tcPr>
            <w:tcW w:type="dxa" w:w="173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个体防护</w:t>
            </w:r>
          </w:p>
        </w:tc>
        <w:tc>
          <w:tcPr>
            <w:tcW w:type="dxa" w:w="15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检测要求</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粉尘（电焊烟尘、打磨粉尘）</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下料、焊接、打磨、抛丸及粉料使用环节</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局部排风、移动式焊烟净化器、布袋除尘</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防尘口罩（KN95 及以上）</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每年检测</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噪声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空压机、风机、切割、抛丸等设备运行</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隔声、消声、减振，设备布置远离操作位</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耳塞/耳罩</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每年检测</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紫外辐射（电焊弧光）</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焊接作业</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焊接屏板隔离、作业区围挡</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焊接面罩、防护服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按需检测</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6.4公用辅助设施</w:t>
      </w:r>
    </w:p>
    <w:p>
      <w:pPr>
        <w:spacing w:lineRule="exact" w:line="540" w:before="0" w:after="0"/>
        <w:ind w:firstLineChars="200" w:firstLine="280"/>
        <w:jc w:val="both"/>
      </w:pPr>
      <w:r>
        <w:rPr>
          <w:rFonts w:ascii="宋体" w:hAnsi="宋体" w:eastAsia="宋体" w:cs="宋体" w:hint="eastAsia"/>
          <w:b w:val="0"/>
          <w:i w:val="0"/>
          <w:sz w:val="28"/>
        </w:rPr>
        <w:t>（1）供配电。电源电压、变压器容量、负荷等级与备用电源</w:t>
      </w:r>
      <w:r>
        <w:rPr>
          <w:rFonts w:ascii="宋体" w:hAnsi="宋体" w:eastAsia="宋体" w:cs="宋体" w:hint="eastAsia"/>
          <w:b w:val="0"/>
          <w:i w:val="0"/>
          <w:sz w:val="28"/>
          <w:color w:val="C00000"/>
        </w:rPr>
        <w:t>【待用户填：供电条件】</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（2）给排水。水源、管径、用水量与排水去向</w:t>
      </w:r>
      <w:r>
        <w:rPr>
          <w:rFonts w:ascii="宋体" w:hAnsi="宋体" w:eastAsia="宋体" w:cs="宋体" w:hint="eastAsia"/>
          <w:b w:val="0"/>
          <w:i w:val="0"/>
          <w:sz w:val="28"/>
          <w:color w:val="C00000"/>
        </w:rPr>
        <w:t>【待用户填：给水条件、排水与污水处理】</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（3）通风除尘。通风方式、除尘系统风量与排风去向</w:t>
      </w:r>
      <w:r>
        <w:rPr>
          <w:rFonts w:ascii="宋体" w:hAnsi="宋体" w:eastAsia="宋体" w:cs="宋体" w:hint="eastAsia"/>
          <w:b w:val="0"/>
          <w:i w:val="0"/>
          <w:sz w:val="28"/>
          <w:color w:val="C00000"/>
        </w:rPr>
        <w:t>【待用户填：通风除尘/空调】</w:t>
      </w:r>
      <w:r>
        <w:rPr>
          <w:rFonts w:ascii="宋体" w:hAnsi="宋体" w:eastAsia="宋体" w:cs="宋体" w:hint="eastAsia"/>
          <w:b w:val="0"/>
          <w:i w:val="0"/>
          <w:sz w:val="28"/>
        </w:rPr>
        <w:t>。</w:t>
      </w:r>
    </w:p>
    <w:p>
      <w:pPr>
        <w:spacing w:lineRule="exact" w:line="540" w:before="0" w:after="0"/>
        <w:ind w:firstLineChars="200" w:firstLine="280"/>
        <w:jc w:val="both"/>
      </w:pPr>
      <w:r>
        <w:rPr>
          <w:rFonts w:ascii="宋体" w:hAnsi="宋体" w:eastAsia="宋体" w:cs="宋体" w:hint="eastAsia"/>
          <w:b w:val="0"/>
          <w:i w:val="0"/>
          <w:sz w:val="28"/>
        </w:rPr>
        <w:t>（5）消防给水。消防水源、水池容积、泵组与管网</w:t>
      </w:r>
      <w:r>
        <w:rPr>
          <w:rFonts w:ascii="宋体" w:hAnsi="宋体" w:eastAsia="宋体" w:cs="宋体" w:hint="eastAsia"/>
          <w:b w:val="0"/>
          <w:i w:val="0"/>
          <w:sz w:val="28"/>
          <w:color w:val="C00000"/>
        </w:rPr>
        <w:t>【待用户填：消防给水】</w:t>
      </w:r>
      <w:r>
        <w:rPr>
          <w:rFonts w:ascii="宋体" w:hAnsi="宋体" w:eastAsia="宋体" w:cs="宋体" w:hint="eastAsia"/>
          <w:b w:val="0"/>
          <w:i w:val="0"/>
          <w:sz w:val="28"/>
        </w:rPr>
        <w:t>。</w:t>
      </w:r>
    </w:p>
    <w:p>
      <w:pPr>
        <w:keepNext/>
        <w:spacing w:lineRule="exact" w:line="540" w:before="0" w:after="0"/>
        <w:ind w:firstLineChars="200" w:firstLine="280"/>
        <w:jc w:val="both"/>
      </w:pPr>
      <w:r>
        <w:rPr>
          <w:rFonts w:ascii="宋体" w:hAnsi="宋体" w:eastAsia="宋体" w:cs="宋体" w:hint="eastAsia"/>
          <w:b w:val="0"/>
          <w:i w:val="0"/>
          <w:sz w:val="28"/>
        </w:rPr>
        <w:t>设计计算结论（数值引自《安全设施设计计算书》，与计算书同源）：</w:t>
      </w:r>
    </w:p>
    <w:p>
      <w:pPr>
        <w:spacing w:lineRule="exact" w:line="540" w:before="0" w:after="0"/>
        <w:ind w:firstLineChars="200" w:firstLine="280"/>
        <w:jc w:val="both"/>
      </w:pPr>
      <w:r>
        <w:rPr>
          <w:rFonts w:ascii="宋体" w:hAnsi="宋体" w:eastAsia="宋体" w:cs="宋体" w:hint="eastAsia"/>
          <w:b w:val="0"/>
          <w:i w:val="0"/>
          <w:sz w:val="28"/>
        </w:rPr>
        <w:t>1. 灭火器配置数量计算。依据《建筑灭火器配置设计规范》GB 50140-2005 表6.2.1、表6.2.2、表5.2.1。生产车间：危生产场所定为中危险级，火灾种类按场所内可燃物定为A类；U=75 m²/A，Q=1×6000/75=80，按单具 2A 配置，需 40 具。原料库：危险等级按丙类仓库定为中危险级，火灾种类按场所内可燃物定为A类；U=75 m²/A，Q=1×600/75=8，按单具 2A 配置，需 4 具。成品库：危险等级按丙类仓库定为中危险级，火灾种类按场所内可燃物定为A类；U=75 m²/A，Q=1×500/75=6.7，按单具 2A 配置，需 4 具。综合办公楼：危险等级按民用建筑定为中危险级，火灾种类按场所内可燃物定为A类；U=75 m²/A，Q=1×500/75=6.7，按单具 2A 配置，需 4 具。结论：全厂共需配置手提式灭火器约 52 具，按设置点分散布置，每个设置点不少于 2 具，且单具灭火级别不低于表中的最小配置级别。经校核满足要求。</w:t>
      </w:r>
    </w:p>
    <w:p>
      <w:pPr>
        <w:spacing w:lineRule="exact" w:line="540" w:before="0" w:after="0"/>
        <w:ind w:firstLineChars="200" w:firstLine="280"/>
        <w:jc w:val="both"/>
      </w:pPr>
      <w:r>
        <w:rPr>
          <w:rFonts w:ascii="宋体" w:hAnsi="宋体" w:eastAsia="宋体" w:cs="宋体" w:hint="eastAsia"/>
          <w:b w:val="0"/>
          <w:i w:val="0"/>
          <w:sz w:val="28"/>
        </w:rPr>
        <w:t>2. 建筑物防雷分类与年预计雷击次数。依据《建筑物防雷设计规范》GB 50057-2010 第3.0.3条、附录A。结论：缺少年平均雷暴日，无法计算年预计雷击次数。本项尚未闭合：项目所在地年平均雷暴日 Td（d/a）；补齐后由设计人重新计算并在计算书中填列，未闭合前不得作为施工依据。</w:t>
      </w:r>
    </w:p>
    <w:p>
      <w:pPr>
        <w:keepNext/>
        <w:spacing w:before="0" w:after="0" w:lineRule="exact" w:line="540"/>
        <w:ind w:firstLine="0"/>
        <w:jc w:val="center"/>
      </w:pPr>
      <w:r>
        <w:rPr>
          <w:rFonts w:ascii="宋体" w:hAnsi="宋体" w:eastAsia="宋体" w:cs="宋体" w:hint="eastAsia"/>
          <w:b w:val="0"/>
          <w:i w:val="0"/>
          <w:sz w:val="28"/>
        </w:rPr>
        <w:t>表6-4-1 公用工程系统设计参数表</w:t>
      </w:r>
    </w:p>
    <w:tbl>
      <w:tblPr>
        <w:tblW w:w="9213" w:type="dxa"/>
        <w:jc w:val="center"/>
        <w:tblInd w:w="0" w:type="dxa"/>
        <w:tblLayout w:type="fixed"/>
        <w:tblCellMar>
          <w:top w:w="0" w:type="dxa"/>
          <w:left w:w="108" w:type="dxa"/>
          <w:bottom w:w="0" w:type="dxa"/>
          <w:right w:w="108" w:type="dxa"/>
        </w:tblCellMar>
      </w:tblPr>
      <w:tblGrid>
        <w:gridCol w:w="2022"/>
        <w:gridCol w:w="3595"/>
        <w:gridCol w:w="1461"/>
        <w:gridCol w:w="2135"/>
      </w:tblGrid>
      <w:tr>
        <w:trPr>
          <w:tblHeader w:val="true"/>
          <w:cantSplit w:val="true"/>
          <w:trHeight w:val="482" w:hRule="atLeast"/>
        </w:trPr>
        <w:tc>
          <w:tcPr>
            <w:tcW w:type="dxa" w:w="202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系统名称</w:t>
            </w:r>
          </w:p>
        </w:tc>
        <w:tc>
          <w:tcPr>
            <w:tcW w:type="dxa" w:w="359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主要设计参数</w:t>
            </w:r>
          </w:p>
        </w:tc>
        <w:tc>
          <w:tcPr>
            <w:tcW w:type="dxa" w:w="14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参数来源</w:t>
            </w:r>
          </w:p>
        </w:tc>
        <w:tc>
          <w:tcPr>
            <w:tcW w:type="dxa" w:w="213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安全控制要求</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给排水</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超限报警、联锁保护、定期检测</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供电（10kV/0.4kV）</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超限报警、联锁保护、定期检测</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压缩空气</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超限报警、联锁保护、定期检测</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通风</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超限报警、联锁保护、定期检测</w:t>
            </w:r>
          </w:p>
        </w:tc>
      </w:tr>
    </w:tbl>
    <w:p>
      <w:pPr>
        <w:keepNext/>
        <w:spacing w:before="0" w:after="0" w:lineRule="exact" w:line="540"/>
        <w:ind w:firstLine="0"/>
        <w:jc w:val="center"/>
      </w:pPr>
      <w:r>
        <w:rPr>
          <w:rFonts w:ascii="宋体" w:hAnsi="宋体" w:eastAsia="宋体" w:cs="宋体" w:hint="eastAsia"/>
          <w:b w:val="0"/>
          <w:i w:val="0"/>
          <w:sz w:val="28"/>
        </w:rPr>
        <w:t>表6-4-2 防雷与防静电接地要求表</w:t>
      </w:r>
    </w:p>
    <w:tbl>
      <w:tblPr>
        <w:tblW w:w="9213" w:type="dxa"/>
        <w:jc w:val="center"/>
        <w:tblInd w:w="0" w:type="dxa"/>
        <w:tblLayout w:type="fixed"/>
        <w:tblCellMar>
          <w:top w:w="0" w:type="dxa"/>
          <w:left w:w="108" w:type="dxa"/>
          <w:bottom w:w="0" w:type="dxa"/>
          <w:right w:w="108" w:type="dxa"/>
        </w:tblCellMar>
      </w:tblPr>
      <w:tblGrid>
        <w:gridCol w:w="2303"/>
        <w:gridCol w:w="1612"/>
        <w:gridCol w:w="1958"/>
        <w:gridCol w:w="1382"/>
        <w:gridCol w:w="1958"/>
      </w:tblGrid>
      <w:tr>
        <w:trPr>
          <w:tblHeader w:val="true"/>
          <w:cantSplit w:val="true"/>
          <w:trHeight w:val="482" w:hRule="atLeast"/>
        </w:trPr>
        <w:tc>
          <w:tcPr>
            <w:tcW w:type="dxa" w:w="230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对象</w:t>
            </w:r>
          </w:p>
        </w:tc>
        <w:tc>
          <w:tcPr>
            <w:tcW w:type="dxa" w:w="16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防雷类别</w:t>
            </w:r>
          </w:p>
        </w:tc>
        <w:tc>
          <w:tcPr>
            <w:tcW w:type="dxa" w:w="19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接地电阻要求(Ω)</w:t>
            </w:r>
          </w:p>
        </w:tc>
        <w:tc>
          <w:tcPr>
            <w:tcW w:type="dxa" w:w="138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检测周期</w:t>
            </w:r>
          </w:p>
        </w:tc>
        <w:tc>
          <w:tcPr>
            <w:tcW w:type="dxa" w:w="19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生产厂房</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每年一次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50057</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露天储罐、设备</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每年一次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50057、GB 50074</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可燃气体放散口</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每年一次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50057</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电气设备保护接地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每年一次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50054</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防静电接地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每年一次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 12158</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管道法兰跨接</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≤0.03</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每半年一次</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GB 50058</w:t>
            </w:r>
          </w:p>
        </w:tc>
      </w:tr>
    </w:tbl>
    <w:p>
      <w:pPr>
        <w:keepNext/>
        <w:spacing w:before="0" w:after="0" w:lineRule="exact" w:line="540"/>
        <w:ind w:firstLine="0"/>
        <w:jc w:val="center"/>
      </w:pPr>
      <w:r>
        <w:rPr>
          <w:rFonts w:ascii="宋体" w:hAnsi="宋体" w:eastAsia="宋体" w:cs="宋体" w:hint="eastAsia"/>
          <w:b w:val="0"/>
          <w:i w:val="0"/>
          <w:sz w:val="28"/>
        </w:rPr>
        <w:t>表6-4-3 爆炸性粉尘危险区域电气设备防爆及防护等级</w:t>
      </w:r>
    </w:p>
    <w:tbl>
      <w:tblPr>
        <w:tblW w:w="9213" w:type="dxa"/>
        <w:jc w:val="center"/>
        <w:tblInd w:w="0" w:type="dxa"/>
        <w:tblLayout w:type="fixed"/>
        <w:tblCellMar>
          <w:top w:w="0" w:type="dxa"/>
          <w:left w:w="108" w:type="dxa"/>
          <w:bottom w:w="0" w:type="dxa"/>
          <w:right w:w="108" w:type="dxa"/>
        </w:tblCellMar>
      </w:tblPr>
      <w:tblGrid>
        <w:gridCol w:w="755"/>
        <w:gridCol w:w="3021"/>
        <w:gridCol w:w="1812"/>
        <w:gridCol w:w="2537"/>
        <w:gridCol w:w="1087"/>
      </w:tblGrid>
      <w:tr>
        <w:trPr>
          <w:tblHeader w:val="true"/>
          <w:cantSplit w:val="true"/>
          <w:trHeight w:val="482" w:hRule="atLeast"/>
        </w:trPr>
        <w:tc>
          <w:tcPr>
            <w:tcW w:type="dxa" w:w="7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302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设备设施名称</w:t>
            </w:r>
          </w:p>
        </w:tc>
        <w:tc>
          <w:tcPr>
            <w:tcW w:type="dxa" w:w="18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防爆型式</w:t>
            </w:r>
          </w:p>
        </w:tc>
        <w:tc>
          <w:tcPr>
            <w:tcW w:type="dxa" w:w="25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防爆等级</w:t>
            </w:r>
          </w:p>
        </w:tc>
        <w:tc>
          <w:tcPr>
            <w:tcW w:type="dxa" w:w="108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适用区域</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除尘器配套电机、风机电机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粉尘防爆型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不低于 Ex tb IIIC T130℃ Db</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21区/22区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电机起停控制装置、现场操作柱</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粉尘防爆型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不低于 Ex tb IIIC T130℃ Db</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21区/22区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照明灯具及灯具开关</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粉尘防爆型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不低于 Ex tb IIIC T130℃ Db</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21区/22区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料位、压差、温度等检测仪表</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本质安全型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不低于 Ex ib IIIC T130℃ Db</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20区/21区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接线盒、电缆及穿线管</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粉尘防爆型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不低于 Ex tb IIIC T130℃ Db</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21区/22区</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除尘管道法兰跨接、静电接地</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防静电</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接地电阻不大于 100Ω</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全部区域</w:t>
            </w:r>
          </w:p>
        </w:tc>
      </w:tr>
    </w:tbl>
    <w:p>
      <w:pPr>
        <w:keepNext/>
        <w:spacing w:before="0" w:after="0" w:lineRule="exact" w:line="540"/>
        <w:ind w:firstLine="0"/>
        <w:jc w:val="center"/>
      </w:pPr>
      <w:r>
        <w:rPr>
          <w:rFonts w:ascii="宋体" w:hAnsi="宋体" w:eastAsia="宋体" w:cs="宋体" w:hint="eastAsia"/>
          <w:b w:val="0"/>
          <w:i w:val="0"/>
          <w:sz w:val="28"/>
        </w:rPr>
        <w:t>表6-4-4 气体（粉尘）浓度探测器一览表</w:t>
      </w:r>
    </w:p>
    <w:tbl>
      <w:tblPr>
        <w:tblW w:w="9213" w:type="dxa"/>
        <w:jc w:val="center"/>
        <w:tblInd w:w="0" w:type="dxa"/>
        <w:tblLayout w:type="fixed"/>
        <w:tblCellMar>
          <w:top w:w="0" w:type="dxa"/>
          <w:left w:w="108" w:type="dxa"/>
          <w:bottom w:w="0" w:type="dxa"/>
          <w:right w:w="108" w:type="dxa"/>
        </w:tblCellMar>
      </w:tblPr>
      <w:tblGrid>
        <w:gridCol w:w="743"/>
        <w:gridCol w:w="1426"/>
        <w:gridCol w:w="1783"/>
        <w:gridCol w:w="1070"/>
        <w:gridCol w:w="743"/>
        <w:gridCol w:w="1308"/>
        <w:gridCol w:w="2140"/>
      </w:tblGrid>
      <w:tr>
        <w:trPr>
          <w:tblHeader w:val="true"/>
          <w:cantSplit w:val="true"/>
          <w:trHeight w:val="482" w:hRule="atLeast"/>
        </w:trPr>
        <w:tc>
          <w:tcPr>
            <w:tcW w:type="dxa" w:w="7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4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名称</w:t>
            </w:r>
          </w:p>
        </w:tc>
        <w:tc>
          <w:tcPr>
            <w:tcW w:type="dxa" w:w="178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设置地点</w:t>
            </w:r>
          </w:p>
        </w:tc>
        <w:tc>
          <w:tcPr>
            <w:tcW w:type="dxa" w:w="107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检测对象</w:t>
            </w:r>
          </w:p>
        </w:tc>
        <w:tc>
          <w:tcPr>
            <w:tcW w:type="dxa" w:w="7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13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类型</w:t>
            </w:r>
          </w:p>
        </w:tc>
        <w:tc>
          <w:tcPr>
            <w:tcW w:type="dxa" w:w="21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防爆等级</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粉尘浓度探测器</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除尘器进出口及除尘管道</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可燃粉尘</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静电感应型</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不低于 Ex tb IIIC T130℃ Db</w:t>
            </w:r>
          </w:p>
        </w:tc>
      </w:tr>
    </w:tbl>
    <w:p>
      <w:pPr>
        <w:keepNext/>
        <w:spacing w:before="0" w:after="0" w:lineRule="exact" w:line="540"/>
        <w:ind w:firstLine="0"/>
        <w:jc w:val="center"/>
      </w:pPr>
      <w:r>
        <w:rPr>
          <w:rFonts w:ascii="宋体" w:hAnsi="宋体" w:eastAsia="宋体" w:cs="宋体" w:hint="eastAsia"/>
          <w:b w:val="0"/>
          <w:i w:val="0"/>
          <w:sz w:val="28"/>
        </w:rPr>
        <w:t>表6-4-5 爆炸性环境电缆配线技术要求</w:t>
      </w:r>
    </w:p>
    <w:tbl>
      <w:tblPr>
        <w:tblW w:w="9213" w:type="dxa"/>
        <w:jc w:val="center"/>
        <w:tblInd w:w="0" w:type="dxa"/>
        <w:tblLayout w:type="fixed"/>
        <w:tblCellMar>
          <w:top w:w="0" w:type="dxa"/>
          <w:left w:w="108" w:type="dxa"/>
          <w:bottom w:w="0" w:type="dxa"/>
          <w:right w:w="108" w:type="dxa"/>
        </w:tblCellMar>
      </w:tblPr>
      <w:tblGrid>
        <w:gridCol w:w="2994"/>
        <w:gridCol w:w="1497"/>
        <w:gridCol w:w="1497"/>
        <w:gridCol w:w="1497"/>
        <w:gridCol w:w="1727"/>
      </w:tblGrid>
      <w:tr>
        <w:trPr>
          <w:tblHeader w:val="true"/>
          <w:cantSplit w:val="true"/>
          <w:trHeight w:val="482" w:hRule="atLeast"/>
        </w:trPr>
        <w:tc>
          <w:tcPr>
            <w:tcW w:type="dxa" w:w="299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爆炸危险区域</w:t>
            </w:r>
          </w:p>
        </w:tc>
        <w:tc>
          <w:tcPr>
            <w:tcW w:type="dxa" w:w="149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电力（mm²）</w:t>
            </w:r>
          </w:p>
        </w:tc>
        <w:tc>
          <w:tcPr>
            <w:tcW w:type="dxa" w:w="149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照明（mm²）</w:t>
            </w:r>
          </w:p>
        </w:tc>
        <w:tc>
          <w:tcPr>
            <w:tcW w:type="dxa" w:w="149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控制（mm²）</w:t>
            </w:r>
          </w:p>
        </w:tc>
        <w:tc>
          <w:tcPr>
            <w:tcW w:type="dxa" w:w="17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移动电缆</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0区、1区、20区、21区</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重型</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2区、22区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1.5</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1.5</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中型</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6.5自然灾害防范措施</w:t>
      </w:r>
    </w:p>
    <w:p>
      <w:pPr>
        <w:spacing w:lineRule="exact" w:line="540" w:before="0" w:after="0"/>
        <w:ind w:firstLineChars="200" w:firstLine="280"/>
        <w:jc w:val="both"/>
      </w:pPr>
      <w:r>
        <w:rPr>
          <w:rFonts w:ascii="宋体" w:hAnsi="宋体" w:eastAsia="宋体" w:cs="宋体" w:hint="eastAsia"/>
          <w:b w:val="0"/>
          <w:i w:val="0"/>
          <w:sz w:val="28"/>
        </w:rPr>
        <w:t>自然灾害防范按地震、雷电、暴雨洪涝、高温、低温冰冻、风灾与地质灾害分类设置。建构筑物按现行抗震设防烈度设防；屋顶、构架与设备设置防雷接地；厂区设置排水沟、雨水口与挡水设施；室外管道与消防水源采取防冻保温。具体设防参数以当地气象、地震部门发布的资料为准，见表 6-5-1。</w:t>
      </w:r>
    </w:p>
    <w:p>
      <w:pPr>
        <w:keepNext/>
        <w:spacing w:before="0" w:after="0" w:lineRule="exact" w:line="540"/>
        <w:ind w:firstLine="0"/>
        <w:jc w:val="center"/>
      </w:pPr>
      <w:r>
        <w:rPr>
          <w:rFonts w:ascii="宋体" w:hAnsi="宋体" w:eastAsia="宋体" w:cs="宋体" w:hint="eastAsia"/>
          <w:b w:val="0"/>
          <w:i w:val="0"/>
          <w:sz w:val="28"/>
        </w:rPr>
        <w:t>表6-5-1 自然灾害防范措施表</w:t>
      </w:r>
    </w:p>
    <w:tbl>
      <w:tblPr>
        <w:tblW w:w="9213" w:type="dxa"/>
        <w:jc w:val="center"/>
        <w:tblInd w:w="0" w:type="dxa"/>
        <w:tblLayout w:type="fixed"/>
        <w:tblCellMar>
          <w:top w:w="0" w:type="dxa"/>
          <w:left w:w="108" w:type="dxa"/>
          <w:bottom w:w="0" w:type="dxa"/>
          <w:right w:w="108" w:type="dxa"/>
        </w:tblCellMar>
      </w:tblPr>
      <w:tblGrid>
        <w:gridCol w:w="1497"/>
        <w:gridCol w:w="2533"/>
        <w:gridCol w:w="3224"/>
        <w:gridCol w:w="1958"/>
      </w:tblGrid>
      <w:tr>
        <w:trPr>
          <w:tblHeader w:val="true"/>
          <w:cantSplit w:val="true"/>
          <w:trHeight w:val="482" w:hRule="atLeast"/>
        </w:trPr>
        <w:tc>
          <w:tcPr>
            <w:tcW w:type="dxa" w:w="149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灾害类型</w:t>
            </w:r>
          </w:p>
        </w:tc>
        <w:tc>
          <w:tcPr>
            <w:tcW w:type="dxa" w:w="253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风险分析</w:t>
            </w:r>
          </w:p>
        </w:tc>
        <w:tc>
          <w:tcPr>
            <w:tcW w:type="dxa" w:w="322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防范措施</w:t>
            </w:r>
          </w:p>
        </w:tc>
        <w:tc>
          <w:tcPr>
            <w:tcW w:type="dxa" w:w="19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监测预警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雷电</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建（构）筑物、设备受雷击</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防雷接地、等电位连接、浪涌保护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气象预警、接地检测</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暴雨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厂区内涝、设备受淹</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排水系统、防洪挡水、设备抬高</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气象预警、汛前检查</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大风</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建构筑物、堆放物倒塌</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结构抗风验算、堆垛加固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气象预警、停止高处作业</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地震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建构筑物损坏、设备倾覆</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抗震设防、设备固定</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地震预警、应急演练</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高温</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人员中暑、设备过热</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通风降温、错峰作业</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高温预警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冰雪</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道路结冰、屋面荷载</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清除积雪、防滑措施</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气象预警</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6.6其他</w:t>
      </w:r>
    </w:p>
    <w:p>
      <w:pPr>
        <w:spacing w:lineRule="exact" w:line="540" w:before="0" w:after="0"/>
        <w:ind w:firstLineChars="200" w:firstLine="280"/>
        <w:jc w:val="both"/>
      </w:pPr>
      <w:r>
        <w:rPr>
          <w:rFonts w:ascii="宋体" w:hAnsi="宋体" w:eastAsia="宋体" w:cs="宋体" w:hint="eastAsia"/>
          <w:b w:val="0"/>
          <w:i w:val="0"/>
          <w:sz w:val="28"/>
        </w:rPr>
        <w:t>其他安全设施包括安全标志、安全色、厂内交通与装卸、个体防护、应急设施与安全管理措施。安全标志按 GB 2894-2025 设置；厂内道路限速、人车分流；装卸区设置警戒与指挥；按岗位配备个体防护用品。安全设施配置汇总见表 6-6-1。</w:t>
      </w:r>
    </w:p>
    <w:p>
      <w:pPr>
        <w:keepNext/>
        <w:spacing w:before="0" w:after="0" w:lineRule="exact" w:line="540"/>
        <w:ind w:firstLine="0"/>
        <w:jc w:val="center"/>
      </w:pPr>
      <w:r>
        <w:rPr>
          <w:rFonts w:ascii="宋体" w:hAnsi="宋体" w:eastAsia="宋体" w:cs="宋体" w:hint="eastAsia"/>
          <w:b w:val="0"/>
          <w:i w:val="0"/>
          <w:sz w:val="28"/>
        </w:rPr>
        <w:t>表6-6-1 管道识别色</w:t>
      </w:r>
    </w:p>
    <w:tbl>
      <w:tblPr>
        <w:tblW w:w="9213" w:type="dxa"/>
        <w:jc w:val="center"/>
        <w:tblInd w:w="0" w:type="dxa"/>
        <w:tblLayout w:type="fixed"/>
        <w:tblCellMar>
          <w:top w:w="0" w:type="dxa"/>
          <w:left w:w="108" w:type="dxa"/>
          <w:bottom w:w="0" w:type="dxa"/>
          <w:right w:w="108" w:type="dxa"/>
        </w:tblCellMar>
      </w:tblPr>
      <w:tblGrid>
        <w:gridCol w:w="808"/>
        <w:gridCol w:w="2327"/>
        <w:gridCol w:w="2974"/>
        <w:gridCol w:w="1681"/>
        <w:gridCol w:w="1422"/>
      </w:tblGrid>
      <w:tr>
        <w:trPr>
          <w:tblHeader w:val="true"/>
          <w:cantSplit w:val="true"/>
          <w:trHeight w:val="482" w:hRule="atLeast"/>
        </w:trPr>
        <w:tc>
          <w:tcPr>
            <w:tcW w:type="dxa" w:w="8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3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介质</w:t>
            </w:r>
          </w:p>
        </w:tc>
        <w:tc>
          <w:tcPr>
            <w:tcW w:type="dxa" w:w="29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管道</w:t>
            </w:r>
          </w:p>
        </w:tc>
        <w:tc>
          <w:tcPr>
            <w:tcW w:type="dxa" w:w="168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识别色</w:t>
            </w:r>
          </w:p>
        </w:tc>
        <w:tc>
          <w:tcPr>
            <w:tcW w:type="dxa" w:w="142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GB 7231</w:t>
            </w:r>
          </w:p>
        </w:tc>
      </w:tr>
    </w:tbl>
    <w:p>
      <w:pPr>
        <w:keepNext/>
        <w:spacing w:before="0" w:after="0" w:lineRule="exact" w:line="540"/>
        <w:ind w:firstLine="0"/>
        <w:jc w:val="center"/>
      </w:pPr>
      <w:r>
        <w:rPr>
          <w:rFonts w:ascii="宋体" w:hAnsi="宋体" w:eastAsia="宋体" w:cs="宋体" w:hint="eastAsia"/>
          <w:b w:val="0"/>
          <w:i w:val="0"/>
          <w:sz w:val="28"/>
        </w:rPr>
        <w:t>表6-6-2 安全标志一览表</w:t>
      </w:r>
    </w:p>
    <w:tbl>
      <w:tblPr>
        <w:tblW w:w="9213" w:type="dxa"/>
        <w:jc w:val="center"/>
        <w:tblInd w:w="0" w:type="dxa"/>
        <w:tblLayout w:type="fixed"/>
        <w:tblCellMar>
          <w:top w:w="0" w:type="dxa"/>
          <w:left w:w="108" w:type="dxa"/>
          <w:bottom w:w="0" w:type="dxa"/>
          <w:right w:w="108" w:type="dxa"/>
        </w:tblCellMar>
      </w:tblPr>
      <w:tblGrid>
        <w:gridCol w:w="1061"/>
        <w:gridCol w:w="1787"/>
        <w:gridCol w:w="1396"/>
        <w:gridCol w:w="3573"/>
        <w:gridCol w:w="1396"/>
      </w:tblGrid>
      <w:tr>
        <w:trPr>
          <w:tblHeader w:val="true"/>
          <w:cantSplit w:val="true"/>
          <w:trHeight w:val="482" w:hRule="atLeast"/>
        </w:trPr>
        <w:tc>
          <w:tcPr>
            <w:tcW w:type="dxa" w:w="106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类别</w:t>
            </w:r>
          </w:p>
        </w:tc>
        <w:tc>
          <w:tcPr>
            <w:tcW w:type="dxa" w:w="178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安全标志</w:t>
            </w:r>
          </w:p>
        </w:tc>
        <w:tc>
          <w:tcPr>
            <w:tcW w:type="dxa" w:w="13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图形标识</w:t>
            </w:r>
          </w:p>
        </w:tc>
        <w:tc>
          <w:tcPr>
            <w:tcW w:type="dxa" w:w="35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设置场所</w:t>
            </w:r>
          </w:p>
        </w:tc>
        <w:tc>
          <w:tcPr>
            <w:tcW w:type="dxa" w:w="13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cantSplit w:val="true"/>
          <w:trHeight w:val="760" w:hRule="atLeast"/>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禁止标志</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禁止吸烟</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 name="Picture 1"/>
                  <wp:cNvGraphicFramePr>
                    <a:graphicFrameLocks noChangeAspect="1"/>
                  </wp:cNvGraphicFramePr>
                  <a:graphic>
                    <a:graphicData uri="http://schemas.openxmlformats.org/drawingml/2006/picture">
                      <pic:pic>
                        <pic:nvPicPr>
                          <pic:cNvPr id="0" name="image5.jpeg"/>
                          <pic:cNvPicPr/>
                        </pic:nvPicPr>
                        <pic:blipFill>
                          <a:blip r:embed="rId11"/>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生产车间、原料库、成品库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禁止烟火</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23131"/>
                  <wp:docPr id="2" name="Picture 2"/>
                  <wp:cNvGraphicFramePr>
                    <a:graphicFrameLocks noChangeAspect="1"/>
                  </wp:cNvGraphicFramePr>
                  <a:graphic>
                    <a:graphicData uri="http://schemas.openxmlformats.org/drawingml/2006/picture">
                      <pic:pic>
                        <pic:nvPicPr>
                          <pic:cNvPr id="0" name="image6.jpeg"/>
                          <pic:cNvPicPr/>
                        </pic:nvPicPr>
                        <pic:blipFill>
                          <a:blip r:embed="rId12"/>
                          <a:stretch>
                            <a:fillRect/>
                          </a:stretch>
                        </pic:blipFill>
                        <pic:spPr>
                          <a:xfrm>
                            <a:off x="0" y="0"/>
                            <a:ext cx="413999" cy="423131"/>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生产车间、原料库、成品库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禁止合闸</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3" name="Picture 3"/>
                  <wp:cNvGraphicFramePr>
                    <a:graphicFrameLocks noChangeAspect="1"/>
                  </wp:cNvGraphicFramePr>
                  <a:graphic>
                    <a:graphicData uri="http://schemas.openxmlformats.org/drawingml/2006/picture">
                      <pic:pic>
                        <pic:nvPicPr>
                          <pic:cNvPr id="0" name="image7.jpeg"/>
                          <pic:cNvPicPr/>
                        </pic:nvPicPr>
                        <pic:blipFill>
                          <a:blip r:embed="rId13"/>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配电柜、车间内电源开关等</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设备或线路检修时，设置在线路开关附近</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禁止停留</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4" name="Picture 4"/>
                  <wp:cNvGraphicFramePr>
                    <a:graphicFrameLocks noChangeAspect="1"/>
                  </wp:cNvGraphicFramePr>
                  <a:graphic>
                    <a:graphicData uri="http://schemas.openxmlformats.org/drawingml/2006/picture">
                      <pic:pic>
                        <pic:nvPicPr>
                          <pic:cNvPr id="0" name="image8.jpeg"/>
                          <pic:cNvPicPr/>
                        </pic:nvPicPr>
                        <pic:blipFill>
                          <a:blip r:embed="rId14"/>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电气设备间等</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警告标志</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当心机械伤人</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8122"/>
                  <wp:docPr id="5" name="Picture 5"/>
                  <wp:cNvGraphicFramePr>
                    <a:graphicFrameLocks noChangeAspect="1"/>
                  </wp:cNvGraphicFramePr>
                  <a:graphic>
                    <a:graphicData uri="http://schemas.openxmlformats.org/drawingml/2006/picture">
                      <pic:pic>
                        <pic:nvPicPr>
                          <pic:cNvPr id="0" name="image9.jpeg"/>
                          <pic:cNvPicPr/>
                        </pic:nvPicPr>
                        <pic:blipFill>
                          <a:blip r:embed="rId15"/>
                          <a:stretch>
                            <a:fillRect/>
                          </a:stretch>
                        </pic:blipFill>
                        <pic:spPr>
                          <a:xfrm>
                            <a:off x="0" y="0"/>
                            <a:ext cx="413999" cy="35812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机械设备传动装置处</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当心触电</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8268"/>
                  <wp:docPr id="6" name="Picture 6"/>
                  <wp:cNvGraphicFramePr>
                    <a:graphicFrameLocks noChangeAspect="1"/>
                  </wp:cNvGraphicFramePr>
                  <a:graphic>
                    <a:graphicData uri="http://schemas.openxmlformats.org/drawingml/2006/picture">
                      <pic:pic>
                        <pic:nvPicPr>
                          <pic:cNvPr id="0" name="image10.jpeg"/>
                          <pic:cNvPicPr/>
                        </pic:nvPicPr>
                        <pic:blipFill>
                          <a:blip r:embed="rId16"/>
                          <a:stretch>
                            <a:fillRect/>
                          </a:stretch>
                        </pic:blipFill>
                        <pic:spPr>
                          <a:xfrm>
                            <a:off x="0" y="0"/>
                            <a:ext cx="413999" cy="358268"/>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电气设备的护栏处、配电柜、开关柜</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当心车辆</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8122"/>
                  <wp:docPr id="7" name="Picture 7"/>
                  <wp:cNvGraphicFramePr>
                    <a:graphicFrameLocks noChangeAspect="1"/>
                  </wp:cNvGraphicFramePr>
                  <a:graphic>
                    <a:graphicData uri="http://schemas.openxmlformats.org/drawingml/2006/picture">
                      <pic:pic>
                        <pic:nvPicPr>
                          <pic:cNvPr id="0" name="image11.jpeg"/>
                          <pic:cNvPicPr/>
                        </pic:nvPicPr>
                        <pic:blipFill>
                          <a:blip r:embed="rId17"/>
                          <a:stretch>
                            <a:fillRect/>
                          </a:stretch>
                        </pic:blipFill>
                        <pic:spPr>
                          <a:xfrm>
                            <a:off x="0" y="0"/>
                            <a:ext cx="413999" cy="35812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厂区道路、装卸区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当心高压气瓶</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5582"/>
                  <wp:docPr id="8" name="Picture 8"/>
                  <wp:cNvGraphicFramePr>
                    <a:graphicFrameLocks noChangeAspect="1"/>
                  </wp:cNvGraphicFramePr>
                  <a:graphic>
                    <a:graphicData uri="http://schemas.openxmlformats.org/drawingml/2006/picture">
                      <pic:pic>
                        <pic:nvPicPr>
                          <pic:cNvPr id="0" name="image12.jpeg"/>
                          <pic:cNvPicPr/>
                        </pic:nvPicPr>
                        <pic:blipFill>
                          <a:blip r:embed="rId18"/>
                          <a:stretch>
                            <a:fillRect/>
                          </a:stretch>
                        </pic:blipFill>
                        <pic:spPr>
                          <a:xfrm>
                            <a:off x="0" y="0"/>
                            <a:ext cx="413999" cy="35558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气瓶存放及使用场所</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当心爆炸</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60332"/>
                  <wp:docPr id="9" name="Picture 9"/>
                  <wp:cNvGraphicFramePr>
                    <a:graphicFrameLocks noChangeAspect="1"/>
                  </wp:cNvGraphicFramePr>
                  <a:graphic>
                    <a:graphicData uri="http://schemas.openxmlformats.org/drawingml/2006/picture">
                      <pic:pic>
                        <pic:nvPicPr>
                          <pic:cNvPr id="0" name="image13.jpeg"/>
                          <pic:cNvPicPr/>
                        </pic:nvPicPr>
                        <pic:blipFill>
                          <a:blip r:embed="rId19"/>
                          <a:stretch>
                            <a:fillRect/>
                          </a:stretch>
                        </pic:blipFill>
                        <pic:spPr>
                          <a:xfrm>
                            <a:off x="0" y="0"/>
                            <a:ext cx="413999" cy="36033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粉尘作业岗位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当心火灾</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60332"/>
                  <wp:docPr id="10" name="Picture 10"/>
                  <wp:cNvGraphicFramePr>
                    <a:graphicFrameLocks noChangeAspect="1"/>
                  </wp:cNvGraphicFramePr>
                  <a:graphic>
                    <a:graphicData uri="http://schemas.openxmlformats.org/drawingml/2006/picture">
                      <pic:pic>
                        <pic:nvPicPr>
                          <pic:cNvPr id="0" name="image15.jpeg"/>
                          <pic:cNvPicPr/>
                        </pic:nvPicPr>
                        <pic:blipFill>
                          <a:blip r:embed="rId20"/>
                          <a:stretch>
                            <a:fillRect/>
                          </a:stretch>
                        </pic:blipFill>
                        <pic:spPr>
                          <a:xfrm>
                            <a:off x="0" y="0"/>
                            <a:ext cx="413999" cy="36033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生产车间、原料库、成品库</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当心弧光</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8122"/>
                  <wp:docPr id="11" name="Picture 11"/>
                  <wp:cNvGraphicFramePr>
                    <a:graphicFrameLocks noChangeAspect="1"/>
                  </wp:cNvGraphicFramePr>
                  <a:graphic>
                    <a:graphicData uri="http://schemas.openxmlformats.org/drawingml/2006/picture">
                      <pic:pic>
                        <pic:nvPicPr>
                          <pic:cNvPr id="0" name="image16.jpeg"/>
                          <pic:cNvPicPr/>
                        </pic:nvPicPr>
                        <pic:blipFill>
                          <a:blip r:embed="rId21"/>
                          <a:stretch>
                            <a:fillRect/>
                          </a:stretch>
                        </pic:blipFill>
                        <pic:spPr>
                          <a:xfrm>
                            <a:off x="0" y="0"/>
                            <a:ext cx="413999" cy="35812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电焊机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当心吊物</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5815"/>
                  <wp:docPr id="12" name="Picture 12"/>
                  <wp:cNvGraphicFramePr>
                    <a:graphicFrameLocks noChangeAspect="1"/>
                  </wp:cNvGraphicFramePr>
                  <a:graphic>
                    <a:graphicData uri="http://schemas.openxmlformats.org/drawingml/2006/picture">
                      <pic:pic>
                        <pic:nvPicPr>
                          <pic:cNvPr id="0" name="image19.jpeg"/>
                          <pic:cNvPicPr/>
                        </pic:nvPicPr>
                        <pic:blipFill>
                          <a:blip r:embed="rId22"/>
                          <a:stretch>
                            <a:fillRect/>
                          </a:stretch>
                        </pic:blipFill>
                        <pic:spPr>
                          <a:xfrm>
                            <a:off x="0" y="0"/>
                            <a:ext cx="413999" cy="355815"/>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桥式起重机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当心夹手</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358122"/>
                  <wp:docPr id="13" name="Picture 13"/>
                  <wp:cNvGraphicFramePr>
                    <a:graphicFrameLocks noChangeAspect="1"/>
                  </wp:cNvGraphicFramePr>
                  <a:graphic>
                    <a:graphicData uri="http://schemas.openxmlformats.org/drawingml/2006/picture">
                      <pic:pic>
                        <pic:nvPicPr>
                          <pic:cNvPr id="0" name="image20.jpeg"/>
                          <pic:cNvPicPr/>
                        </pic:nvPicPr>
                        <pic:blipFill>
                          <a:blip r:embed="rId23"/>
                          <a:stretch>
                            <a:fillRect/>
                          </a:stretch>
                        </pic:blipFill>
                        <pic:spPr>
                          <a:xfrm>
                            <a:off x="0" y="0"/>
                            <a:ext cx="413999" cy="358122"/>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机械设备传动装置处</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指令标志</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必须固定气瓶</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4" name="Picture 14"/>
                  <wp:cNvGraphicFramePr>
                    <a:graphicFrameLocks noChangeAspect="1"/>
                  </wp:cNvGraphicFramePr>
                  <a:graphic>
                    <a:graphicData uri="http://schemas.openxmlformats.org/drawingml/2006/picture">
                      <pic:pic>
                        <pic:nvPicPr>
                          <pic:cNvPr id="0" name="image21.jpeg"/>
                          <pic:cNvPicPr/>
                        </pic:nvPicPr>
                        <pic:blipFill>
                          <a:blip r:embed="rId24"/>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气瓶存放及使用场所</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必须戴护耳器</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5" name="Picture 15"/>
                  <wp:cNvGraphicFramePr>
                    <a:graphicFrameLocks noChangeAspect="1"/>
                  </wp:cNvGraphicFramePr>
                  <a:graphic>
                    <a:graphicData uri="http://schemas.openxmlformats.org/drawingml/2006/picture">
                      <pic:pic>
                        <pic:nvPicPr>
                          <pic:cNvPr id="0" name="image23.jpeg"/>
                          <pic:cNvPicPr/>
                        </pic:nvPicPr>
                        <pic:blipFill>
                          <a:blip r:embed="rId25"/>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生产车间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必须戴防护眼镜</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6" name="Picture 16"/>
                  <wp:cNvGraphicFramePr>
                    <a:graphicFrameLocks noChangeAspect="1"/>
                  </wp:cNvGraphicFramePr>
                  <a:graphic>
                    <a:graphicData uri="http://schemas.openxmlformats.org/drawingml/2006/picture">
                      <pic:pic>
                        <pic:nvPicPr>
                          <pic:cNvPr id="0" name="image24.jpeg"/>
                          <pic:cNvPicPr/>
                        </pic:nvPicPr>
                        <pic:blipFill>
                          <a:blip r:embed="rId26"/>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切割、打磨、焊接作业区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必须戴遮光护目镜</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7" name="Picture 17"/>
                  <wp:cNvGraphicFramePr>
                    <a:graphicFrameLocks noChangeAspect="1"/>
                  </wp:cNvGraphicFramePr>
                  <a:graphic>
                    <a:graphicData uri="http://schemas.openxmlformats.org/drawingml/2006/picture">
                      <pic:pic>
                        <pic:nvPicPr>
                          <pic:cNvPr id="0" name="image25.jpeg"/>
                          <pic:cNvPicPr/>
                        </pic:nvPicPr>
                        <pic:blipFill>
                          <a:blip r:embed="rId27"/>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检维修焊接区域</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必须戴口罩</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8" name="Picture 18"/>
                  <wp:cNvGraphicFramePr>
                    <a:graphicFrameLocks noChangeAspect="1"/>
                  </wp:cNvGraphicFramePr>
                  <a:graphic>
                    <a:graphicData uri="http://schemas.openxmlformats.org/drawingml/2006/picture">
                      <pic:pic>
                        <pic:nvPicPr>
                          <pic:cNvPr id="0" name="image26.jpeg"/>
                          <pic:cNvPicPr/>
                        </pic:nvPicPr>
                        <pic:blipFill>
                          <a:blip r:embed="rId28"/>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粉尘作业岗位</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必须戴安全帽</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3999"/>
                  <wp:docPr id="19" name="Picture 19"/>
                  <wp:cNvGraphicFramePr>
                    <a:graphicFrameLocks noChangeAspect="1"/>
                  </wp:cNvGraphicFramePr>
                  <a:graphic>
                    <a:graphicData uri="http://schemas.openxmlformats.org/drawingml/2006/picture">
                      <pic:pic>
                        <pic:nvPicPr>
                          <pic:cNvPr id="0" name="image27.jpeg"/>
                          <pic:cNvPicPr/>
                        </pic:nvPicPr>
                        <pic:blipFill>
                          <a:blip r:embed="rId29"/>
                          <a:stretch>
                            <a:fillRect/>
                          </a:stretch>
                        </pic:blipFill>
                        <pic:spPr>
                          <a:xfrm>
                            <a:off x="0" y="0"/>
                            <a:ext cx="413999" cy="41399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厂区入口、各车间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提示标志</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安全出口</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auto" w:line="240" w:before="0" w:after="0"/>
              <w:ind w:firstLine="0"/>
              <w:jc w:val="center"/>
            </w:pPr>
            <w:r>
              <w:drawing>
                <wp:inline xmlns:a="http://schemas.openxmlformats.org/drawingml/2006/main" xmlns:pic="http://schemas.openxmlformats.org/drawingml/2006/picture">
                  <wp:extent cx="413999" cy="431869"/>
                  <wp:docPr id="20" name="Picture 20"/>
                  <wp:cNvGraphicFramePr>
                    <a:graphicFrameLocks noChangeAspect="1"/>
                  </wp:cNvGraphicFramePr>
                  <a:graphic>
                    <a:graphicData uri="http://schemas.openxmlformats.org/drawingml/2006/picture">
                      <pic:pic>
                        <pic:nvPicPr>
                          <pic:cNvPr id="0" name="image28.jpeg"/>
                          <pic:cNvPicPr/>
                        </pic:nvPicPr>
                        <pic:blipFill>
                          <a:blip r:embed="rId30"/>
                          <a:stretch>
                            <a:fillRect/>
                          </a:stretch>
                        </pic:blipFill>
                        <pic:spPr>
                          <a:xfrm>
                            <a:off x="0" y="0"/>
                            <a:ext cx="413999" cy="431869"/>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建筑物出口</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w:t>
            </w:r>
          </w:p>
        </w:tc>
      </w:tr>
      <w:tr>
        <w:trPr>
          <w:cantSplit w:val="true"/>
          <w:trHeight w:val="760" w:hRule="atLeast"/>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紧急集合点</w:t>
            </w:r>
          </w:p>
        </w:tc>
        <w:tc>
          <w:tcPr>
            <w:tcW w:type="dxa" w:w="1837"/>
            <w:vAlign w:val="center"/>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auto" w:line="240" w:before="0" w:after="0"/>
              <w:ind w:firstLine="0"/>
              <w:jc w:val="center"/>
            </w:pPr>
            <w:r>
              <w:drawing>
                <wp:inline xmlns:a="http://schemas.openxmlformats.org/drawingml/2006/main" xmlns:pic="http://schemas.openxmlformats.org/drawingml/2006/picture">
                  <wp:extent cx="413999" cy="417066"/>
                  <wp:docPr id="21" name="Picture 21"/>
                  <wp:cNvGraphicFramePr>
                    <a:graphicFrameLocks noChangeAspect="1"/>
                  </wp:cNvGraphicFramePr>
                  <a:graphic>
                    <a:graphicData uri="http://schemas.openxmlformats.org/drawingml/2006/picture">
                      <pic:pic>
                        <pic:nvPicPr>
                          <pic:cNvPr id="0" name="image29.jpeg"/>
                          <pic:cNvPicPr/>
                        </pic:nvPicPr>
                        <pic:blipFill>
                          <a:blip r:embed="rId31"/>
                          <a:stretch>
                            <a:fillRect/>
                          </a:stretch>
                        </pic:blipFill>
                        <pic:spPr>
                          <a:xfrm>
                            <a:off x="0" y="0"/>
                            <a:ext cx="413999" cy="417066"/>
                          </a:xfrm>
                          <a:prstGeom prst="rect"/>
                        </pic:spPr>
                      </pic:pic>
                    </a:graphicData>
                  </a:graphic>
                </wp:inline>
              </w:drawing>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厂区紧急集合点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w:t>
            </w:r>
          </w:p>
        </w:tc>
      </w:tr>
    </w:tbl>
    <w:p>
      <w:pPr>
        <w:keepNext/>
        <w:spacing w:before="0" w:after="0" w:lineRule="exact" w:line="540"/>
        <w:ind w:firstLine="0"/>
        <w:jc w:val="center"/>
      </w:pPr>
      <w:r>
        <w:rPr>
          <w:rFonts w:ascii="宋体" w:hAnsi="宋体" w:eastAsia="宋体" w:cs="宋体" w:hint="eastAsia"/>
          <w:b w:val="0"/>
          <w:i w:val="0"/>
          <w:sz w:val="28"/>
        </w:rPr>
        <w:t>表6-6-3 安全设施配置汇总表</w:t>
      </w:r>
    </w:p>
    <w:tbl>
      <w:tblPr>
        <w:tblW w:w="9213" w:type="dxa"/>
        <w:jc w:val="center"/>
        <w:tblInd w:w="0" w:type="dxa"/>
        <w:tblLayout w:type="fixed"/>
        <w:tblCellMar>
          <w:top w:w="0" w:type="dxa"/>
          <w:left w:w="108" w:type="dxa"/>
          <w:bottom w:w="0" w:type="dxa"/>
          <w:right w:w="108" w:type="dxa"/>
        </w:tblCellMar>
      </w:tblPr>
      <w:tblGrid>
        <w:gridCol w:w="1573"/>
        <w:gridCol w:w="3708"/>
        <w:gridCol w:w="1011"/>
        <w:gridCol w:w="1685"/>
        <w:gridCol w:w="1236"/>
      </w:tblGrid>
      <w:tr>
        <w:trPr>
          <w:tblHeader w:val="true"/>
          <w:cantSplit w:val="true"/>
          <w:trHeight w:val="482" w:hRule="atLeast"/>
        </w:trPr>
        <w:tc>
          <w:tcPr>
            <w:tcW w:type="dxa" w:w="15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设施类别</w:t>
            </w:r>
          </w:p>
        </w:tc>
        <w:tc>
          <w:tcPr>
            <w:tcW w:type="dxa" w:w="37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主要内容</w:t>
            </w:r>
          </w:p>
        </w:tc>
        <w:tc>
          <w:tcPr>
            <w:tcW w:type="dxa" w:w="101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168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设置位置</w:t>
            </w:r>
          </w:p>
        </w:tc>
        <w:tc>
          <w:tcPr>
            <w:tcW w:type="dxa" w:w="123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预防事故设施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设备防护罩、防护栏、安全联锁与急停装置、防雷接地、防静电接地</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按设计落实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检测报警设施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火灾自动报警系统、除尘器压差监测与火花探测</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按设计落实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灭火器、室外消火栓、室内消火栓</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按设计落实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应急照明、疏散指示标志、安全出口</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按设计落实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个体防护</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安全帽、防砸鞋、防尘口罩、防护眼镜、防静电服</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按设计落实</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安全管理</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安全标志、警示标识、安全操作规程、应急预案与演练</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按设计落实</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7安全管理机构设置及安全管理人员配置</w:t>
      </w:r>
    </w:p>
    <w:p>
      <w:pPr>
        <w:pStyle w:val="Heading2"/>
        <w:keepNext/>
        <w:spacing w:lineRule="exact" w:line="540" w:before="120" w:after="120"/>
        <w:ind w:firstLine="0"/>
        <w:jc w:val="both"/>
      </w:pPr>
      <w:r>
        <w:rPr>
          <w:rFonts w:ascii="楷体" w:hAnsi="楷体" w:eastAsia="楷体" w:cs="楷体" w:hint="eastAsia"/>
          <w:b w:val="0"/>
          <w:i w:val="0"/>
          <w:sz w:val="32"/>
          <w:color w:val="000000"/>
        </w:rPr>
        <w:t>7.1安全管理机构设置</w:t>
      </w:r>
    </w:p>
    <w:p>
      <w:pPr>
        <w:spacing w:lineRule="exact" w:line="540" w:before="0" w:after="0"/>
        <w:ind w:firstLineChars="200" w:firstLine="280"/>
        <w:jc w:val="both"/>
      </w:pPr>
      <w:r>
        <w:rPr>
          <w:rFonts w:ascii="宋体" w:hAnsi="宋体" w:eastAsia="宋体" w:cs="宋体" w:hint="eastAsia"/>
          <w:b w:val="0"/>
          <w:i w:val="0"/>
          <w:sz w:val="28"/>
        </w:rPr>
        <w:t>（1）该公司安全生产管理组织及人员如下。</w:t>
      </w:r>
    </w:p>
    <w:p>
      <w:pPr>
        <w:spacing w:lineRule="exact" w:line="540" w:before="0" w:after="0"/>
        <w:ind w:firstLineChars="200" w:firstLine="280"/>
        <w:jc w:val="both"/>
      </w:pPr>
      <w:r>
        <w:rPr>
          <w:rFonts w:ascii="宋体" w:hAnsi="宋体" w:eastAsia="宋体" w:cs="宋体" w:hint="eastAsia"/>
          <w:b w:val="0"/>
          <w:i w:val="0"/>
          <w:sz w:val="28"/>
        </w:rPr>
        <w:t>（1）主要负责人：张伟。</w:t>
      </w:r>
    </w:p>
    <w:p>
      <w:pPr>
        <w:spacing w:lineRule="exact" w:line="540" w:before="0" w:after="0"/>
        <w:ind w:firstLineChars="200" w:firstLine="280"/>
        <w:jc w:val="both"/>
      </w:pPr>
      <w:r>
        <w:rPr>
          <w:rFonts w:ascii="宋体" w:hAnsi="宋体" w:eastAsia="宋体" w:cs="宋体" w:hint="eastAsia"/>
          <w:b w:val="0"/>
          <w:i w:val="0"/>
          <w:sz w:val="28"/>
        </w:rPr>
        <w:t>（2）安全管理员：李强。</w:t>
      </w:r>
    </w:p>
    <w:p>
      <w:pPr>
        <w:spacing w:lineRule="exact" w:line="540" w:before="0" w:after="0"/>
        <w:ind w:firstLineChars="200" w:firstLine="280"/>
        <w:jc w:val="both"/>
      </w:pPr>
      <w:r>
        <w:rPr>
          <w:rFonts w:ascii="宋体" w:hAnsi="宋体" w:eastAsia="宋体" w:cs="宋体" w:hint="eastAsia"/>
          <w:b w:val="0"/>
          <w:i w:val="0"/>
          <w:sz w:val="28"/>
        </w:rPr>
        <w:t>（3）安全生产管理机构应独立设置，配备专职安全生产管理人员，并建立从主要负责人到岗位员工的全员安全生产责任制。</w:t>
      </w:r>
    </w:p>
    <w:p>
      <w:pPr>
        <w:keepNext/>
        <w:spacing w:before="0" w:after="0" w:lineRule="exact" w:line="540"/>
        <w:ind w:firstLine="0"/>
        <w:jc w:val="center"/>
      </w:pPr>
      <w:r>
        <w:rPr>
          <w:rFonts w:ascii="宋体" w:hAnsi="宋体" w:eastAsia="宋体" w:cs="宋体" w:hint="eastAsia"/>
          <w:b w:val="0"/>
          <w:i w:val="0"/>
          <w:sz w:val="28"/>
        </w:rPr>
        <w:t>表7-1-1 安全管理机构设置表</w:t>
      </w:r>
    </w:p>
    <w:tbl>
      <w:tblPr>
        <w:tblW w:w="9213" w:type="dxa"/>
        <w:jc w:val="center"/>
        <w:tblInd w:w="0" w:type="dxa"/>
        <w:tblLayout w:type="fixed"/>
        <w:tblCellMar>
          <w:top w:w="0" w:type="dxa"/>
          <w:left w:w="108" w:type="dxa"/>
          <w:bottom w:w="0" w:type="dxa"/>
          <w:right w:w="108" w:type="dxa"/>
        </w:tblCellMar>
      </w:tblPr>
      <w:tblGrid>
        <w:gridCol w:w="1934"/>
        <w:gridCol w:w="2502"/>
        <w:gridCol w:w="3298"/>
        <w:gridCol w:w="1479"/>
      </w:tblGrid>
      <w:tr>
        <w:trPr>
          <w:tblHeader w:val="true"/>
          <w:cantSplit w:val="true"/>
          <w:trHeight w:val="482" w:hRule="atLeast"/>
        </w:trPr>
        <w:tc>
          <w:tcPr>
            <w:tcW w:type="dxa" w:w="193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机构/岗位</w:t>
            </w:r>
          </w:p>
        </w:tc>
        <w:tc>
          <w:tcPr>
            <w:tcW w:type="dxa" w:w="250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设置要求</w:t>
            </w:r>
          </w:p>
        </w:tc>
        <w:tc>
          <w:tcPr>
            <w:tcW w:type="dxa" w:w="329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主要职责</w:t>
            </w:r>
          </w:p>
        </w:tc>
        <w:tc>
          <w:tcPr>
            <w:tcW w:type="dxa" w:w="14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安全生产委员会</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主要负责人任主任</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研究决策重大安全生产事项</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《安全生产法》</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安全生产管理机构</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从业人员超过 100 人的应当设置</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组织落实安全生产管理职责</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《安全生产法》第二十四条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专职安全生产管理人员</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按从业人员比例配备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日常检查、隐患排查、教育培训</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《安全生产法》第二十四条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注册安全工程师</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危险物品等单位应当配备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安全生产管理、技术支撑</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《安全生产法》第二十七条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部门/车间安全员</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各生产单位设置</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现场安全管理与巡查</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企业管理制度</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7.2安全管理人员配备及职责</w:t>
      </w:r>
    </w:p>
    <w:p>
      <w:pPr>
        <w:spacing w:lineRule="exact" w:line="540" w:before="0" w:after="0"/>
        <w:ind w:firstLineChars="200" w:firstLine="280"/>
        <w:jc w:val="both"/>
      </w:pPr>
      <w:r>
        <w:rPr>
          <w:rFonts w:ascii="宋体" w:hAnsi="宋体" w:eastAsia="宋体" w:cs="宋体" w:hint="eastAsia"/>
          <w:b w:val="0"/>
          <w:i w:val="0"/>
          <w:sz w:val="28"/>
        </w:rPr>
        <w:t>（1）配备依据。按《中华人民共和国安全生产法》的规定，从业人员超过一百人的生产经营单位应设置安全生产管理机构或者配备专职安全生产管理人员；专职安全生产管理人员按从业人员总数的 2% 配备，且不少于 1 人。</w:t>
      </w:r>
    </w:p>
    <w:p>
      <w:pPr>
        <w:spacing w:lineRule="exact" w:line="540" w:before="0" w:after="0"/>
        <w:ind w:firstLineChars="200" w:firstLine="280"/>
        <w:jc w:val="both"/>
      </w:pPr>
      <w:r>
        <w:rPr>
          <w:rFonts w:ascii="宋体" w:hAnsi="宋体" w:eastAsia="宋体" w:cs="宋体" w:hint="eastAsia"/>
          <w:b w:val="0"/>
          <w:i w:val="0"/>
          <w:sz w:val="28"/>
        </w:rPr>
        <w:t>（2）配备数量。本项目劳动定员 45人 人，按 2% 计算应配备专职安全生产管理人员不少于 1 人。上述人数按劳动定员直接计算，实际配备应考虑倒班、休假与厂区分散因素，不得低于计算结果。</w:t>
      </w:r>
    </w:p>
    <w:p>
      <w:pPr>
        <w:spacing w:lineRule="exact" w:line="540" w:before="0" w:after="0"/>
        <w:ind w:firstLineChars="200" w:firstLine="280"/>
        <w:jc w:val="both"/>
      </w:pPr>
      <w:r>
        <w:rPr>
          <w:rFonts w:ascii="宋体" w:hAnsi="宋体" w:eastAsia="宋体" w:cs="宋体" w:hint="eastAsia"/>
          <w:b w:val="0"/>
          <w:i w:val="0"/>
          <w:sz w:val="28"/>
        </w:rPr>
        <w:t>（3）岗位设置。建设单位已明确的安全生产管理岗位如下：</w:t>
      </w:r>
    </w:p>
    <w:p>
      <w:pPr>
        <w:spacing w:lineRule="exact" w:line="540" w:before="0" w:after="0"/>
        <w:ind w:firstLineChars="200" w:firstLine="280"/>
        <w:jc w:val="both"/>
      </w:pPr>
      <w:r>
        <w:rPr>
          <w:rFonts w:ascii="宋体" w:hAnsi="宋体" w:eastAsia="宋体" w:cs="宋体" w:hint="eastAsia"/>
          <w:b w:val="0"/>
          <w:i w:val="0"/>
          <w:sz w:val="28"/>
        </w:rPr>
        <w:t>（3）主要负责人：张伟。</w:t>
      </w:r>
    </w:p>
    <w:p>
      <w:pPr>
        <w:spacing w:lineRule="exact" w:line="540" w:before="0" w:after="0"/>
        <w:ind w:firstLineChars="200" w:firstLine="280"/>
        <w:jc w:val="both"/>
      </w:pPr>
      <w:r>
        <w:rPr>
          <w:rFonts w:ascii="宋体" w:hAnsi="宋体" w:eastAsia="宋体" w:cs="宋体" w:hint="eastAsia"/>
          <w:b w:val="0"/>
          <w:i w:val="0"/>
          <w:sz w:val="28"/>
        </w:rPr>
        <w:t>（4）安全管理员：李强。</w:t>
      </w:r>
    </w:p>
    <w:p>
      <w:pPr>
        <w:spacing w:lineRule="exact" w:line="540" w:before="0" w:after="0"/>
        <w:ind w:firstLineChars="200" w:firstLine="280"/>
        <w:jc w:val="both"/>
      </w:pPr>
      <w:r>
        <w:rPr>
          <w:rFonts w:ascii="宋体" w:hAnsi="宋体" w:eastAsia="宋体" w:cs="宋体" w:hint="eastAsia"/>
          <w:b w:val="0"/>
          <w:i w:val="0"/>
          <w:sz w:val="28"/>
        </w:rPr>
        <w:t>（4）主要职责。主要负责人对本单位安全生产工作全面负责，组织建立并落实全员安全生产责任制，保证安全生产投入的有效实施，组织制定并实施生产安全事故应急救援预案；分管安全负责人协助主要负责人履行安全生产管理职责；安全生产管理机构及专职安全管理人员组织或者参与拟订安全生产规章制度、操作规程和生产安全事故应急救援预案，组织安全生产教育和培训，督促落实重大危险源的安全管理措施，组织应急救援演练，检查安全生产状况并及时排查生产安全事故隐患，制止和纠正违章指挥、强令冒险作业与违反操作规程的行为。</w:t>
      </w:r>
    </w:p>
    <w:p>
      <w:pPr>
        <w:spacing w:lineRule="exact" w:line="540" w:before="0" w:after="0"/>
        <w:ind w:firstLineChars="200" w:firstLine="280"/>
        <w:jc w:val="both"/>
      </w:pPr>
      <w:r>
        <w:rPr>
          <w:rFonts w:ascii="宋体" w:hAnsi="宋体" w:eastAsia="宋体" w:cs="宋体" w:hint="eastAsia"/>
          <w:b w:val="0"/>
          <w:i w:val="0"/>
          <w:sz w:val="28"/>
        </w:rPr>
        <w:t>（5）任职条件。安全生产管理人员应具备与本单位所从事的生产经营活动相适应的安全生产知识和管理能力，并经主管部门考核合格；特种作业人员应取得特种作业操作证后方可上岗。</w:t>
      </w:r>
    </w:p>
    <w:p>
      <w:pPr>
        <w:keepNext/>
        <w:spacing w:before="0" w:after="0" w:lineRule="exact" w:line="540"/>
        <w:ind w:firstLine="0"/>
        <w:jc w:val="center"/>
      </w:pPr>
      <w:r>
        <w:rPr>
          <w:rFonts w:ascii="宋体" w:hAnsi="宋体" w:eastAsia="宋体" w:cs="宋体" w:hint="eastAsia"/>
          <w:b w:val="0"/>
          <w:i w:val="0"/>
          <w:sz w:val="28"/>
        </w:rPr>
        <w:t>表7-2-1 安全管理机构及人员配备表</w:t>
      </w:r>
    </w:p>
    <w:tbl>
      <w:tblPr>
        <w:tblW w:w="9213" w:type="dxa"/>
        <w:jc w:val="center"/>
        <w:tblInd w:w="0" w:type="dxa"/>
        <w:tblLayout w:type="fixed"/>
        <w:tblCellMar>
          <w:top w:w="0" w:type="dxa"/>
          <w:left w:w="108" w:type="dxa"/>
          <w:bottom w:w="0" w:type="dxa"/>
          <w:right w:w="108" w:type="dxa"/>
        </w:tblCellMar>
      </w:tblPr>
      <w:tblGrid>
        <w:gridCol w:w="3455"/>
        <w:gridCol w:w="2879"/>
        <w:gridCol w:w="2879"/>
      </w:tblGrid>
      <w:tr>
        <w:trPr>
          <w:tblHeader w:val="true"/>
          <w:cantSplit w:val="true"/>
          <w:trHeight w:val="482" w:hRule="atLeast"/>
        </w:trPr>
        <w:tc>
          <w:tcPr>
            <w:tcW w:type="dxa" w:w="34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岗位</w:t>
            </w:r>
          </w:p>
        </w:tc>
        <w:tc>
          <w:tcPr>
            <w:tcW w:type="dxa" w:w="28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姓名</w:t>
            </w:r>
          </w:p>
        </w:tc>
        <w:tc>
          <w:tcPr>
            <w:tcW w:type="dxa" w:w="28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联系电话</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主要负责人</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张伟</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安全管理员</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李强</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7.3安全管理要求</w:t>
      </w:r>
    </w:p>
    <w:p>
      <w:pPr>
        <w:spacing w:lineRule="exact" w:line="540" w:before="0" w:after="0"/>
        <w:ind w:firstLineChars="200" w:firstLine="280"/>
        <w:jc w:val="both"/>
      </w:pPr>
      <w:r>
        <w:rPr>
          <w:rFonts w:ascii="宋体" w:hAnsi="宋体" w:eastAsia="宋体" w:cs="宋体" w:hint="eastAsia"/>
          <w:b w:val="0"/>
          <w:i w:val="0"/>
          <w:sz w:val="28"/>
        </w:rPr>
        <w:t>安全管理制度至少包括：安全生产责任制、安全生产投入、安全教育培训、风险分级管控与隐患排查治理、设备设施安全管理、危险作业审批、相关方管理、变更管理、应急管理、事故报告与调查处理、安全奖惩等。制度清单见表 7-3-1；制度应结合本项目工艺、设备与岗位特点编制，并在投产前组织评审与发布。</w:t>
      </w:r>
    </w:p>
    <w:p>
      <w:pPr>
        <w:keepNext/>
        <w:spacing w:before="0" w:after="0" w:lineRule="exact" w:line="540"/>
        <w:ind w:firstLine="0"/>
        <w:jc w:val="center"/>
      </w:pPr>
      <w:r>
        <w:rPr>
          <w:rFonts w:ascii="宋体" w:hAnsi="宋体" w:eastAsia="宋体" w:cs="宋体" w:hint="eastAsia"/>
          <w:b w:val="0"/>
          <w:i w:val="0"/>
          <w:sz w:val="28"/>
        </w:rPr>
        <w:t>表7-3-1 安全生产责任制与管理制度清单</w:t>
      </w:r>
    </w:p>
    <w:tbl>
      <w:tblPr>
        <w:tblW w:w="9213" w:type="dxa"/>
        <w:jc w:val="center"/>
        <w:tblInd w:w="0" w:type="dxa"/>
        <w:tblLayout w:type="fixed"/>
        <w:tblCellMar>
          <w:top w:w="0" w:type="dxa"/>
          <w:left w:w="108" w:type="dxa"/>
          <w:bottom w:w="0" w:type="dxa"/>
          <w:right w:w="108" w:type="dxa"/>
        </w:tblCellMar>
      </w:tblPr>
      <w:tblGrid>
        <w:gridCol w:w="700"/>
        <w:gridCol w:w="2464"/>
        <w:gridCol w:w="1568"/>
        <w:gridCol w:w="3024"/>
        <w:gridCol w:w="1456"/>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46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制度名称</w:t>
            </w:r>
          </w:p>
        </w:tc>
        <w:tc>
          <w:tcPr>
            <w:tcW w:type="dxa" w:w="156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适用范围</w:t>
            </w:r>
          </w:p>
        </w:tc>
        <w:tc>
          <w:tcPr>
            <w:tcW w:type="dxa" w:w="302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主要内容</w:t>
            </w:r>
          </w:p>
        </w:tc>
        <w:tc>
          <w:tcPr>
            <w:tcW w:type="dxa" w:w="145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责任部门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安全生产责任制</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安全生产教育培训制度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安全检查与隐患排查治理制度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设备设施安全管理制度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危险作业审批制度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劳动防护用品管理制度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事故报告与调查处理制度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应急管理制度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9</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安全生产奖惩制度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10</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相关方安全管理制度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变更管理制度</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12</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安全投入保障制度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全公司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7.4劳动防护用品的配备</w:t>
      </w:r>
    </w:p>
    <w:p>
      <w:pPr>
        <w:spacing w:lineRule="exact" w:line="540" w:before="0" w:after="0"/>
        <w:ind w:firstLineChars="200" w:firstLine="280"/>
        <w:jc w:val="both"/>
      </w:pPr>
      <w:r>
        <w:rPr>
          <w:rFonts w:ascii="宋体" w:hAnsi="宋体" w:eastAsia="宋体" w:cs="宋体" w:hint="eastAsia"/>
          <w:b w:val="0"/>
          <w:i w:val="0"/>
          <w:sz w:val="28"/>
        </w:rPr>
        <w:t>个体防护用品按岗位存在的危险有害因素配备：接触粉尘岗位配备防尘口罩（KN95 及以上）；接触噪声岗位配备耳塞或耳罩；焊接作业配备焊接面罩与阻燃防护服；进入生产现场人员配备安全帽与防砸鞋。配备标准见表 7-4-1，用品应符合国家标准或行业标准，并建立发放与报废台账；表中未列岗位按实际危险有害因素补充。</w:t>
      </w:r>
    </w:p>
    <w:p>
      <w:pPr>
        <w:keepNext/>
        <w:spacing w:before="0" w:after="0" w:lineRule="exact" w:line="540"/>
        <w:ind w:firstLine="0"/>
        <w:jc w:val="center"/>
      </w:pPr>
      <w:r>
        <w:rPr>
          <w:rFonts w:ascii="宋体" w:hAnsi="宋体" w:eastAsia="宋体" w:cs="宋体" w:hint="eastAsia"/>
          <w:b w:val="0"/>
          <w:i w:val="0"/>
          <w:sz w:val="28"/>
        </w:rPr>
        <w:t>表7-4-1 劳动防护设备（器材）一览表</w:t>
      </w:r>
    </w:p>
    <w:tbl>
      <w:tblPr>
        <w:tblW w:w="9213" w:type="dxa"/>
        <w:jc w:val="center"/>
        <w:tblInd w:w="0" w:type="dxa"/>
        <w:tblLayout w:type="fixed"/>
        <w:tblCellMar>
          <w:top w:w="0" w:type="dxa"/>
          <w:left w:w="108" w:type="dxa"/>
          <w:bottom w:w="0" w:type="dxa"/>
          <w:right w:w="108" w:type="dxa"/>
        </w:tblCellMar>
      </w:tblPr>
      <w:tblGrid>
        <w:gridCol w:w="692"/>
        <w:gridCol w:w="1217"/>
        <w:gridCol w:w="1992"/>
        <w:gridCol w:w="1217"/>
        <w:gridCol w:w="996"/>
        <w:gridCol w:w="1992"/>
        <w:gridCol w:w="1107"/>
      </w:tblGrid>
      <w:tr>
        <w:trPr>
          <w:tblHeader w:val="true"/>
          <w:cantSplit w:val="true"/>
          <w:trHeight w:val="482" w:hRule="atLeast"/>
        </w:trPr>
        <w:tc>
          <w:tcPr>
            <w:tcW w:type="dxa" w:w="6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2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工种</w:t>
            </w:r>
          </w:p>
        </w:tc>
        <w:tc>
          <w:tcPr>
            <w:tcW w:type="dxa" w:w="19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可能存在的危险因素</w:t>
            </w:r>
          </w:p>
        </w:tc>
        <w:tc>
          <w:tcPr>
            <w:tcW w:type="dxa" w:w="12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劳动防护用品</w:t>
            </w:r>
          </w:p>
        </w:tc>
        <w:tc>
          <w:tcPr>
            <w:tcW w:type="dxa" w:w="9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季节/型号</w:t>
            </w:r>
          </w:p>
        </w:tc>
        <w:tc>
          <w:tcPr>
            <w:tcW w:type="dxa" w:w="19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功能特点</w:t>
            </w:r>
          </w:p>
        </w:tc>
        <w:tc>
          <w:tcPr>
            <w:tcW w:type="dxa" w:w="110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建议最长更换期限/月</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312"/>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安全帽</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防物体打击</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防尘口罩</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防粉尘</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耳塞（罩）</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防噪声</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防护眼镜</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防飞溅</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防砸安全鞋</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防砸、防滑</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工作服</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防静电、阻燃</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7</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绝缘手套</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防触电</w:t>
            </w:r>
          </w:p>
        </w:tc>
        <w:tc>
          <w:tcPr>
            <w:tcW w:type="dxa" w:w="13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w:t>
            </w: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vMerge/>
            <w:tcBorders>
              <w:top w:val="single" w:sz="4" w:color="000000"/>
              <w:left w:val="single" w:sz="4" w:color="000000"/>
              <w:bottom w:val="single" w:sz="4" w:color="000000"/>
              <w:right w:val="single" w:sz="4" w:color="000000"/>
            </w:tcBorders>
          </w:tcP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安全带</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防坠落</w:t>
            </w:r>
          </w:p>
        </w:tc>
        <w:tc>
          <w:tcPr>
            <w:tcW w:type="dxa" w:w="131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7.5应急管理</w:t>
      </w:r>
    </w:p>
    <w:p>
      <w:pPr>
        <w:spacing w:lineRule="exact" w:line="540" w:before="0" w:after="0"/>
        <w:ind w:firstLineChars="200" w:firstLine="280"/>
        <w:jc w:val="both"/>
      </w:pPr>
      <w:r>
        <w:rPr>
          <w:rFonts w:ascii="宋体" w:hAnsi="宋体" w:eastAsia="宋体" w:cs="宋体" w:hint="eastAsia"/>
          <w:b w:val="0"/>
          <w:i w:val="0"/>
          <w:sz w:val="28"/>
        </w:rPr>
        <w:t>应急管理包括应急预案体系、应急组织、应急物资、应急演练与事故报告。该公司应编制综合应急预案、专项应急预案与现场处置方案，按规定组织评审、公布与备案，每年至少组织一次综合或专项演练、每半年至少组织一次现场处置方案演练。应急预案体系见表 7-5-1。</w:t>
      </w:r>
    </w:p>
    <w:p>
      <w:pPr>
        <w:keepNext/>
        <w:spacing w:before="0" w:after="0" w:lineRule="exact" w:line="540"/>
        <w:ind w:firstLine="0"/>
        <w:jc w:val="center"/>
      </w:pPr>
      <w:r>
        <w:rPr>
          <w:rFonts w:ascii="宋体" w:hAnsi="宋体" w:eastAsia="宋体" w:cs="宋体" w:hint="eastAsia"/>
          <w:b w:val="0"/>
          <w:i w:val="0"/>
          <w:sz w:val="28"/>
        </w:rPr>
        <w:t>表7-5-1 应急救援器材一览表</w:t>
      </w:r>
    </w:p>
    <w:tbl>
      <w:tblPr>
        <w:tblW w:w="9213" w:type="dxa"/>
        <w:jc w:val="center"/>
        <w:tblInd w:w="0" w:type="dxa"/>
        <w:tblLayout w:type="fixed"/>
        <w:tblCellMar>
          <w:top w:w="0" w:type="dxa"/>
          <w:left w:w="108" w:type="dxa"/>
          <w:bottom w:w="0" w:type="dxa"/>
          <w:right w:w="108" w:type="dxa"/>
        </w:tblCellMar>
      </w:tblPr>
      <w:tblGrid>
        <w:gridCol w:w="1866"/>
        <w:gridCol w:w="3498"/>
        <w:gridCol w:w="1516"/>
        <w:gridCol w:w="2332"/>
      </w:tblGrid>
      <w:tr>
        <w:trPr>
          <w:tblHeader w:val="true"/>
          <w:cantSplit w:val="true"/>
          <w:trHeight w:val="482" w:hRule="atLeast"/>
        </w:trPr>
        <w:tc>
          <w:tcPr>
            <w:tcW w:type="dxa" w:w="186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类别</w:t>
            </w:r>
          </w:p>
        </w:tc>
        <w:tc>
          <w:tcPr>
            <w:tcW w:type="dxa" w:w="349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名称</w:t>
            </w:r>
          </w:p>
        </w:tc>
        <w:tc>
          <w:tcPr>
            <w:tcW w:type="dxa" w:w="15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233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2296"/>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人身防护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正压式空气呼吸器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vMerge/>
            <w:tcBorders>
              <w:top w:val="single" w:sz="4" w:color="000000"/>
              <w:left w:val="single" w:sz="4" w:color="000000"/>
              <w:bottom w:val="single" w:sz="4" w:color="000000"/>
              <w:right w:val="single" w:sz="4" w:color="000000"/>
            </w:tcBorders>
          </w:tcP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绝缘手套、绝缘靴</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医疗救护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急救药箱</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vMerge/>
            <w:tcBorders>
              <w:top w:val="single" w:sz="4" w:color="000000"/>
              <w:left w:val="single" w:sz="4" w:color="000000"/>
              <w:bottom w:val="single" w:sz="4" w:color="000000"/>
              <w:right w:val="single" w:sz="4" w:color="000000"/>
            </w:tcBorders>
          </w:tcP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急救担架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通讯联络</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对讲机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警戒器材</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警戒带</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照明</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应急照明灯</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防汛</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沙袋、铁锹</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keepNext/>
        <w:spacing w:before="0" w:after="0" w:lineRule="exact" w:line="540"/>
        <w:ind w:firstLine="0"/>
        <w:jc w:val="center"/>
      </w:pPr>
      <w:r>
        <w:rPr>
          <w:rFonts w:ascii="宋体" w:hAnsi="宋体" w:eastAsia="宋体" w:cs="宋体" w:hint="eastAsia"/>
          <w:b w:val="0"/>
          <w:i w:val="0"/>
          <w:sz w:val="28"/>
        </w:rPr>
        <w:t>表7-5-2 应急预案体系及演练要求表</w:t>
      </w:r>
    </w:p>
    <w:tbl>
      <w:tblPr>
        <w:tblW w:w="9213" w:type="dxa"/>
        <w:jc w:val="center"/>
        <w:tblInd w:w="0" w:type="dxa"/>
        <w:tblLayout w:type="fixed"/>
        <w:tblCellMar>
          <w:top w:w="0" w:type="dxa"/>
          <w:left w:w="108" w:type="dxa"/>
          <w:bottom w:w="0" w:type="dxa"/>
          <w:right w:w="108" w:type="dxa"/>
        </w:tblCellMar>
      </w:tblPr>
      <w:tblGrid>
        <w:gridCol w:w="1727"/>
        <w:gridCol w:w="3109"/>
        <w:gridCol w:w="2764"/>
        <w:gridCol w:w="1612"/>
      </w:tblGrid>
      <w:tr>
        <w:trPr>
          <w:tblHeader w:val="true"/>
          <w:cantSplit w:val="true"/>
          <w:trHeight w:val="482" w:hRule="atLeast"/>
        </w:trPr>
        <w:tc>
          <w:tcPr>
            <w:tcW w:type="dxa" w:w="17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预案层级</w:t>
            </w:r>
          </w:p>
        </w:tc>
        <w:tc>
          <w:tcPr>
            <w:tcW w:type="dxa" w:w="310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预案名称</w:t>
            </w:r>
          </w:p>
        </w:tc>
        <w:tc>
          <w:tcPr>
            <w:tcW w:type="dxa" w:w="276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编制/修订要求</w:t>
            </w:r>
          </w:p>
        </w:tc>
        <w:tc>
          <w:tcPr>
            <w:tcW w:type="dxa" w:w="161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演练频次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综合应急预案</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 GB/T 29639 编制，每 3 年评估修订</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每年至少 1 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专项应急预案</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针对主要事故类型编制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每年至少 1 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现场处置方案</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针对重点岗位、重点设备编制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每半年至少 1 次</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应急资源调查报告</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与预案同步编制、更新</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每年更新</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8从业人员安全教育培训</w:t>
      </w:r>
    </w:p>
    <w:p>
      <w:pPr>
        <w:pStyle w:val="Heading2"/>
        <w:keepNext/>
        <w:spacing w:lineRule="exact" w:line="540" w:before="120" w:after="120"/>
        <w:ind w:firstLine="0"/>
        <w:jc w:val="both"/>
      </w:pPr>
      <w:r>
        <w:rPr>
          <w:rFonts w:ascii="楷体" w:hAnsi="楷体" w:eastAsia="楷体" w:cs="楷体" w:hint="eastAsia"/>
          <w:b w:val="0"/>
          <w:i w:val="0"/>
          <w:sz w:val="32"/>
          <w:color w:val="000000"/>
        </w:rPr>
        <w:t>8.1从业人员安全教育培训</w:t>
      </w:r>
    </w:p>
    <w:p>
      <w:pPr>
        <w:spacing w:lineRule="exact" w:line="540" w:before="0" w:after="0"/>
        <w:ind w:firstLineChars="200" w:firstLine="280"/>
        <w:jc w:val="both"/>
      </w:pPr>
      <w:r>
        <w:rPr>
          <w:rFonts w:ascii="宋体" w:hAnsi="宋体" w:eastAsia="宋体" w:cs="宋体" w:hint="eastAsia"/>
          <w:b w:val="0"/>
          <w:i w:val="0"/>
          <w:sz w:val="28"/>
        </w:rPr>
        <w:t>（1）培训对象与学时。主要负责人和安全生产管理人员初次安全培训不少于 32 学时、每年再培训不少于 12 学时；新上岗从业人员岗前安全培训不少于 24 学时、每年再培训不少于 8 学时；特种作业人员按规定参加专门培训并取得操作证。</w:t>
      </w:r>
    </w:p>
    <w:p>
      <w:pPr>
        <w:spacing w:lineRule="exact" w:line="540" w:before="0" w:after="0"/>
        <w:ind w:firstLineChars="200" w:firstLine="280"/>
        <w:jc w:val="both"/>
      </w:pPr>
      <w:r>
        <w:rPr>
          <w:rFonts w:ascii="宋体" w:hAnsi="宋体" w:eastAsia="宋体" w:cs="宋体" w:hint="eastAsia"/>
          <w:b w:val="0"/>
          <w:i w:val="0"/>
          <w:sz w:val="28"/>
        </w:rPr>
        <w:t>（2）培训内容。包括安全生产法律法规、本单位安全生产规章制度与操作规程、岗位危险有害因素与防范措施、设备安全操作、个体防护用品使用、事故应急处置与自救互救。</w:t>
      </w:r>
    </w:p>
    <w:p>
      <w:pPr>
        <w:spacing w:lineRule="exact" w:line="540" w:before="0" w:after="0"/>
        <w:ind w:firstLineChars="200" w:firstLine="280"/>
        <w:jc w:val="both"/>
      </w:pPr>
      <w:r>
        <w:rPr>
          <w:rFonts w:ascii="宋体" w:hAnsi="宋体" w:eastAsia="宋体" w:cs="宋体" w:hint="eastAsia"/>
          <w:b w:val="0"/>
          <w:i w:val="0"/>
          <w:sz w:val="28"/>
        </w:rPr>
        <w:t>（3）培训考核与档案。培训结束后组织考试，考核不合格的重新培训；建立从业人员安全培训档案，记录培训时间、内容、学时与考核结果，档案保存期限不少于三年。安全教育培训计划见表 8-1-1。</w:t>
      </w:r>
    </w:p>
    <w:p>
      <w:pPr>
        <w:keepNext/>
        <w:spacing w:before="0" w:after="0" w:lineRule="exact" w:line="540"/>
        <w:ind w:firstLine="0"/>
        <w:jc w:val="center"/>
      </w:pPr>
      <w:r>
        <w:rPr>
          <w:rFonts w:ascii="宋体" w:hAnsi="宋体" w:eastAsia="宋体" w:cs="宋体" w:hint="eastAsia"/>
          <w:b w:val="0"/>
          <w:i w:val="0"/>
          <w:sz w:val="28"/>
        </w:rPr>
        <w:t>表8-1-1 安全教育培训计划表</w:t>
      </w:r>
    </w:p>
    <w:tbl>
      <w:tblPr>
        <w:tblW w:w="9213" w:type="dxa"/>
        <w:jc w:val="center"/>
        <w:tblInd w:w="0" w:type="dxa"/>
        <w:tblLayout w:type="fixed"/>
        <w:tblCellMar>
          <w:top w:w="0" w:type="dxa"/>
          <w:left w:w="108" w:type="dxa"/>
          <w:bottom w:w="0" w:type="dxa"/>
          <w:right w:w="108" w:type="dxa"/>
        </w:tblCellMar>
      </w:tblPr>
      <w:tblGrid>
        <w:gridCol w:w="700"/>
        <w:gridCol w:w="1904"/>
        <w:gridCol w:w="1792"/>
        <w:gridCol w:w="896"/>
        <w:gridCol w:w="1120"/>
        <w:gridCol w:w="2800"/>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9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培训类别</w:t>
            </w:r>
          </w:p>
        </w:tc>
        <w:tc>
          <w:tcPr>
            <w:tcW w:type="dxa" w:w="179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培训对象</w:t>
            </w:r>
          </w:p>
        </w:tc>
        <w:tc>
          <w:tcPr>
            <w:tcW w:type="dxa" w:w="8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学时</w:t>
            </w:r>
          </w:p>
        </w:tc>
        <w:tc>
          <w:tcPr>
            <w:tcW w:type="dxa" w:w="112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周期</w:t>
            </w:r>
          </w:p>
        </w:tc>
        <w:tc>
          <w:tcPr>
            <w:tcW w:type="dxa" w:w="28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主要内容</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三级安全教育</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新入厂人员</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入厂时</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公司级、车间级、班组级安全教育</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年度再培训</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全体从业人员</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安全法规、操作规程、事故案例</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特种作业培训</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特种作业人员</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按取证要求</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取证/复审</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持证上岗培训</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专项安全培训</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相关岗位人员</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每半年</w:t>
            </w:r>
          </w:p>
        </w:tc>
        <w:tc>
          <w:tcPr>
            <w:tcW w:type="dxa" w:w="15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检维修、动火、有限空间等作业</w:t>
            </w:r>
          </w:p>
        </w:tc>
      </w:tr>
      <w:tr>
        <w:trPr>
          <w:trHeight w:val="482" w:hRule="atLeast"/>
          <w:cantSplit w:val="true"/>
        </w:trPr>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应急演练</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全体从业人员</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 次</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每年</w:t>
            </w:r>
          </w:p>
        </w:tc>
        <w:tc>
          <w:tcPr>
            <w:tcW w:type="dxa" w:w="1531"/>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综合演练与现场处置演练</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8.2安全教育、培训设施与器材</w:t>
      </w:r>
    </w:p>
    <w:p>
      <w:pPr>
        <w:spacing w:lineRule="exact" w:line="540" w:before="0" w:after="0"/>
        <w:ind w:firstLineChars="200" w:firstLine="280"/>
        <w:jc w:val="both"/>
      </w:pPr>
      <w:r>
        <w:rPr>
          <w:rFonts w:ascii="宋体" w:hAnsi="宋体" w:eastAsia="宋体" w:cs="宋体" w:hint="eastAsia"/>
          <w:b w:val="0"/>
          <w:i w:val="0"/>
          <w:sz w:val="28"/>
        </w:rPr>
        <w:t>安全教育培训设施与器材包括：培训教室、投影与音响设备、安全警示标志与宣传栏、消防器材演示装置、个体防护用品展示与体验装置、事故案例教育与应急演练器材。配置情况见表 8-2-1，培训设施应由专人管理并定期维护。</w:t>
      </w:r>
    </w:p>
    <w:p>
      <w:pPr>
        <w:keepNext/>
        <w:spacing w:before="0" w:after="0" w:lineRule="exact" w:line="540"/>
        <w:ind w:firstLine="0"/>
        <w:jc w:val="center"/>
      </w:pPr>
      <w:r>
        <w:rPr>
          <w:rFonts w:ascii="宋体" w:hAnsi="宋体" w:eastAsia="宋体" w:cs="宋体" w:hint="eastAsia"/>
          <w:b w:val="0"/>
          <w:i w:val="0"/>
          <w:sz w:val="28"/>
        </w:rPr>
        <w:t>表8-2-1 安全教育培训设施与器材配置表</w:t>
      </w:r>
    </w:p>
    <w:tbl>
      <w:tblPr>
        <w:tblW w:w="9213" w:type="dxa"/>
        <w:jc w:val="center"/>
        <w:tblInd w:w="0" w:type="dxa"/>
        <w:tblLayout w:type="fixed"/>
        <w:tblCellMar>
          <w:top w:w="0" w:type="dxa"/>
          <w:left w:w="108" w:type="dxa"/>
          <w:bottom w:w="0" w:type="dxa"/>
          <w:right w:w="108" w:type="dxa"/>
        </w:tblCellMar>
      </w:tblPr>
      <w:tblGrid>
        <w:gridCol w:w="2879"/>
        <w:gridCol w:w="1382"/>
        <w:gridCol w:w="2303"/>
        <w:gridCol w:w="2649"/>
      </w:tblGrid>
      <w:tr>
        <w:trPr>
          <w:tblHeader w:val="true"/>
          <w:cantSplit w:val="true"/>
          <w:trHeight w:val="482" w:hRule="atLeast"/>
        </w:trPr>
        <w:tc>
          <w:tcPr>
            <w:tcW w:type="dxa" w:w="28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设施/器材</w:t>
            </w:r>
          </w:p>
        </w:tc>
        <w:tc>
          <w:tcPr>
            <w:tcW w:type="dxa" w:w="138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配置数量</w:t>
            </w:r>
          </w:p>
        </w:tc>
        <w:tc>
          <w:tcPr>
            <w:tcW w:type="dxa" w:w="230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设置地点</w:t>
            </w:r>
          </w:p>
        </w:tc>
        <w:tc>
          <w:tcPr>
            <w:tcW w:type="dxa" w:w="264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用途</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安全培训教室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办公区</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集中授课与考试</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投影/音响设备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培训教室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多媒体教学</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安全体验器材</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培训教室</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防护用品佩戴、应急处置体验</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消防器材实操器材</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指定实操场地</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灭火器、消火栓实操训练</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考试终端</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培训教室</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在线考试与档案管理</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9工艺、技术和设备、设施的先进性和可靠性分析</w:t>
      </w:r>
    </w:p>
    <w:p>
      <w:pPr>
        <w:spacing w:lineRule="exact" w:line="540" w:before="0" w:after="0"/>
        <w:ind w:firstLineChars="200" w:firstLine="280"/>
        <w:jc w:val="both"/>
      </w:pPr>
      <w:r>
        <w:rPr>
          <w:rFonts w:ascii="宋体" w:hAnsi="宋体" w:eastAsia="宋体" w:cs="宋体" w:hint="eastAsia"/>
          <w:b w:val="0"/>
          <w:i w:val="0"/>
          <w:sz w:val="28"/>
        </w:rPr>
        <w:t>本专篇采用的工艺技术与设备设施以建设单位提供的资料为准。工艺选择遵循成熟、可靠、经济合理的原则，优先采用机械化、自动化与密闭化作业，减少人员直接接触危险有害因素；设备选型优先选用取得生产许可、经过型式试验或安全认证的产品。工艺技术与设备先进性对比见表9-1。本专篇不对未提供的工艺参数与设备性能作比较结论。</w:t>
      </w:r>
    </w:p>
    <w:p>
      <w:pPr>
        <w:keepNext/>
        <w:spacing w:before="0" w:after="0" w:lineRule="exact" w:line="540"/>
        <w:ind w:firstLine="0"/>
        <w:jc w:val="center"/>
      </w:pPr>
      <w:r>
        <w:rPr>
          <w:rFonts w:ascii="宋体" w:hAnsi="宋体" w:eastAsia="宋体" w:cs="宋体" w:hint="eastAsia"/>
          <w:b w:val="0"/>
          <w:i w:val="0"/>
          <w:sz w:val="28"/>
        </w:rPr>
        <w:t>表9-1 工艺技术与设备先进性对比表</w:t>
      </w:r>
    </w:p>
    <w:tbl>
      <w:tblPr>
        <w:tblW w:w="9213" w:type="dxa"/>
        <w:jc w:val="center"/>
        <w:tblInd w:w="0" w:type="dxa"/>
        <w:tblLayout w:type="fixed"/>
        <w:tblCellMar>
          <w:top w:w="0" w:type="dxa"/>
          <w:left w:w="108" w:type="dxa"/>
          <w:bottom w:w="0" w:type="dxa"/>
          <w:right w:w="108" w:type="dxa"/>
        </w:tblCellMar>
      </w:tblPr>
      <w:tblGrid>
        <w:gridCol w:w="1843"/>
        <w:gridCol w:w="2649"/>
        <w:gridCol w:w="2533"/>
        <w:gridCol w:w="2188"/>
      </w:tblGrid>
      <w:tr>
        <w:trPr>
          <w:tblHeader w:val="true"/>
          <w:cantSplit w:val="true"/>
          <w:trHeight w:val="482" w:hRule="atLeast"/>
        </w:trPr>
        <w:tc>
          <w:tcPr>
            <w:tcW w:type="dxa" w:w="18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对比项目</w:t>
            </w:r>
          </w:p>
        </w:tc>
        <w:tc>
          <w:tcPr>
            <w:tcW w:type="dxa" w:w="264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传统方式</w:t>
            </w:r>
          </w:p>
        </w:tc>
        <w:tc>
          <w:tcPr>
            <w:tcW w:type="dxa" w:w="253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本项目采用</w:t>
            </w:r>
          </w:p>
        </w:tc>
        <w:tc>
          <w:tcPr>
            <w:tcW w:type="dxa" w:w="218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先进性体现</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生产控制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人工操作、就地仪表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减少人为失误、参数稳定</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安全联锁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独立报警、人工处置</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超限自动停机、降低事故后果</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粉尘控制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自然沉降、定期清扫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密闭输送、集中除尘</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降低粉尘爆炸风险</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能源利用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分散供热</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提高能效、减少危险源</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监测手段</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人工巡检</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实时预警、数据可追溯</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10安全设施专项投资概算</w:t>
      </w:r>
    </w:p>
    <w:p>
      <w:pPr>
        <w:pStyle w:val="Heading2"/>
        <w:keepNext/>
        <w:spacing w:lineRule="exact" w:line="540" w:before="120" w:after="120"/>
        <w:ind w:firstLine="0"/>
        <w:jc w:val="both"/>
      </w:pPr>
      <w:r>
        <w:rPr>
          <w:rFonts w:ascii="楷体" w:hAnsi="楷体" w:eastAsia="楷体" w:cs="楷体" w:hint="eastAsia"/>
          <w:b w:val="0"/>
          <w:i w:val="0"/>
          <w:sz w:val="32"/>
          <w:color w:val="000000"/>
        </w:rPr>
        <w:t>10.1安全设施总投资概算</w:t>
      </w:r>
    </w:p>
    <w:p>
      <w:pPr>
        <w:spacing w:lineRule="exact" w:line="540" w:before="0" w:after="0"/>
        <w:ind w:firstLineChars="200" w:firstLine="280"/>
        <w:jc w:val="both"/>
      </w:pPr>
      <w:r>
        <w:rPr>
          <w:rFonts w:ascii="宋体" w:hAnsi="宋体" w:eastAsia="宋体" w:cs="宋体" w:hint="eastAsia"/>
          <w:b w:val="0"/>
          <w:i w:val="0"/>
          <w:sz w:val="28"/>
        </w:rPr>
        <w:t>根据《中华人民共和国安全生产法》第二十八条，生产经营单位新建、改建、扩建工程项目的安全设施，必须与主体工程同时设计、同时施工、同时投入生产和使用。安全设施投资应当纳入建设项目概算。</w:t>
      </w:r>
    </w:p>
    <w:p>
      <w:pPr>
        <w:spacing w:lineRule="exact" w:line="540" w:before="0" w:after="0"/>
        <w:ind w:firstLineChars="200" w:firstLine="280"/>
        <w:jc w:val="both"/>
      </w:pPr>
      <w:r>
        <w:rPr>
          <w:rFonts w:ascii="宋体" w:hAnsi="宋体" w:eastAsia="宋体" w:cs="宋体" w:hint="eastAsia"/>
          <w:b w:val="0"/>
          <w:i w:val="0"/>
          <w:sz w:val="28"/>
        </w:rPr>
        <w:t>建设项目计划总投资 2600 万元，其中安全设施投资概算为 173.00 万元，安全设施投资概算占项目总投资概算的 6.65%。</w:t>
      </w:r>
    </w:p>
    <w:p>
      <w:pPr>
        <w:spacing w:lineRule="exact" w:line="540" w:before="0" w:after="0"/>
        <w:ind w:firstLineChars="200" w:firstLine="280"/>
        <w:jc w:val="both"/>
      </w:pPr>
      <w:r>
        <w:rPr>
          <w:rFonts w:ascii="宋体" w:hAnsi="宋体" w:eastAsia="宋体" w:cs="宋体" w:hint="eastAsia"/>
          <w:b w:val="0"/>
          <w:i w:val="0"/>
          <w:sz w:val="28"/>
        </w:rPr>
        <w:t>安全设施投资按主要生产环节及设备安全防范设施、安全教育培训、事故应急救援措施和其它安全费用四类分列，见表 10-2-1 至表 10-2-4。分项金额取自建设单位提供的投资资料，未列明的分项不估算。</w:t>
      </w:r>
    </w:p>
    <w:p>
      <w:pPr>
        <w:pStyle w:val="Heading2"/>
        <w:keepNext/>
        <w:spacing w:lineRule="exact" w:line="540" w:before="120" w:after="120"/>
        <w:ind w:firstLine="0"/>
        <w:jc w:val="both"/>
      </w:pPr>
      <w:r>
        <w:rPr>
          <w:rFonts w:ascii="楷体" w:hAnsi="楷体" w:eastAsia="楷体" w:cs="楷体" w:hint="eastAsia"/>
          <w:b w:val="0"/>
          <w:i w:val="0"/>
          <w:sz w:val="32"/>
          <w:color w:val="000000"/>
        </w:rPr>
        <w:t>10.2安全设施分类投资概算</w:t>
      </w:r>
    </w:p>
    <w:p>
      <w:pPr>
        <w:spacing w:lineRule="exact" w:line="540" w:before="0" w:after="0"/>
        <w:ind w:firstLineChars="200" w:firstLine="280"/>
        <w:jc w:val="both"/>
      </w:pPr>
      <w:r>
        <w:rPr>
          <w:rFonts w:ascii="宋体" w:hAnsi="宋体" w:eastAsia="宋体" w:cs="宋体" w:hint="eastAsia"/>
          <w:b w:val="0"/>
          <w:i w:val="0"/>
          <w:sz w:val="28"/>
        </w:rPr>
        <w:t>安全设施分类投资概算按主要生产环节及设备安全防范设施、安全教育培训、事故应急救援措施和其它安全费用四类分列，各分项构成见下列各表。</w:t>
      </w:r>
    </w:p>
    <w:p>
      <w:pPr>
        <w:keepNext/>
        <w:spacing w:lineRule="exact" w:line="540" w:before="156" w:after="156"/>
        <w:ind w:firstLine="0"/>
        <w:jc w:val="left"/>
        <w:outlineLvl w:val="2"/>
      </w:pPr>
      <w:r>
        <w:rPr>
          <w:rFonts w:ascii="黑体" w:hAnsi="黑体" w:eastAsia="黑体" w:cs="黑体" w:hint="eastAsia"/>
          <w:b w:val="0"/>
          <w:i w:val="0"/>
          <w:sz w:val="28"/>
          <w:color w:val="000000"/>
        </w:rPr>
        <w:t>10.2.1主要生产环节及设备安全防范设施费用概算</w:t>
      </w:r>
    </w:p>
    <w:p>
      <w:pPr>
        <w:spacing w:lineRule="exact" w:line="540" w:before="0" w:after="0"/>
        <w:ind w:firstLineChars="200" w:firstLine="280"/>
        <w:jc w:val="both"/>
      </w:pPr>
      <w:r>
        <w:rPr>
          <w:rFonts w:ascii="宋体" w:hAnsi="宋体" w:eastAsia="宋体" w:cs="宋体" w:hint="eastAsia"/>
          <w:b w:val="0"/>
          <w:i w:val="0"/>
          <w:sz w:val="28"/>
        </w:rPr>
        <w:t>主要生产环节及设备安全防范设施费用包括防雷接地、消防设施、照明灯具及其他安全设施，按建设单位提供的概算分项计列，见表 10-2-1。分项金额未提供的以占位标注，本专篇不估算。</w:t>
      </w:r>
    </w:p>
    <w:p>
      <w:pPr>
        <w:keepNext/>
        <w:spacing w:before="0" w:after="0" w:lineRule="exact" w:line="540"/>
        <w:ind w:firstLine="0"/>
        <w:jc w:val="center"/>
      </w:pPr>
      <w:r>
        <w:rPr>
          <w:rFonts w:ascii="宋体" w:hAnsi="宋体" w:eastAsia="宋体" w:cs="宋体" w:hint="eastAsia"/>
          <w:b w:val="0"/>
          <w:i w:val="0"/>
          <w:sz w:val="28"/>
        </w:rPr>
        <w:t>表10-2-1 主要生产环节及设备安全防范设施费用概算一览表</w:t>
      </w:r>
    </w:p>
    <w:tbl>
      <w:tblPr>
        <w:tblW w:w="9213" w:type="dxa"/>
        <w:jc w:val="center"/>
        <w:tblInd w:w="0" w:type="dxa"/>
        <w:tblLayout w:type="fixed"/>
        <w:tblCellMar>
          <w:top w:w="0" w:type="dxa"/>
          <w:left w:w="108" w:type="dxa"/>
          <w:bottom w:w="0" w:type="dxa"/>
          <w:right w:w="108" w:type="dxa"/>
        </w:tblCellMar>
      </w:tblPr>
      <w:tblGrid>
        <w:gridCol w:w="722"/>
        <w:gridCol w:w="1733"/>
        <w:gridCol w:w="3523"/>
        <w:gridCol w:w="2079"/>
        <w:gridCol w:w="1155"/>
      </w:tblGrid>
      <w:tr>
        <w:trPr>
          <w:tblHeader w:val="true"/>
          <w:cantSplit w:val="true"/>
          <w:trHeight w:val="482" w:hRule="atLeast"/>
        </w:trPr>
        <w:tc>
          <w:tcPr>
            <w:tcW w:type="dxa" w:w="72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173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项　目</w:t>
            </w:r>
          </w:p>
        </w:tc>
        <w:tc>
          <w:tcPr>
            <w:tcW w:type="dxa" w:w="352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分项（设施）名称</w:t>
            </w:r>
          </w:p>
        </w:tc>
        <w:tc>
          <w:tcPr>
            <w:tcW w:type="dxa" w:w="20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费用概算（万元）</w:t>
            </w:r>
          </w:p>
        </w:tc>
        <w:tc>
          <w:tcPr>
            <w:tcW w:type="dxa" w:w="115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　注</w:t>
            </w: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vMerge w:val="restart"/>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安全防护设施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检测报警设施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18</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消防设施</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个体防护用品</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vMerge/>
            <w:tcBorders>
              <w:top w:val="single" w:sz="4" w:color="000000"/>
              <w:left w:val="single" w:sz="4" w:color="000000"/>
              <w:bottom w:val="single" w:sz="4" w:color="000000"/>
              <w:right w:val="single" w:sz="4" w:color="000000"/>
            </w:tcBorders>
          </w:tc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应急救援器材</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5511"/>
            <w:vAlign w:val="center"/>
            <w:gridSpan w:val="3"/>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合计</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165.00</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lineRule="exact" w:line="540" w:before="156" w:after="156"/>
        <w:ind w:firstLine="0"/>
        <w:jc w:val="left"/>
        <w:outlineLvl w:val="2"/>
      </w:pPr>
      <w:r>
        <w:rPr>
          <w:rFonts w:ascii="黑体" w:hAnsi="黑体" w:eastAsia="黑体" w:cs="黑体" w:hint="eastAsia"/>
          <w:b w:val="0"/>
          <w:i w:val="0"/>
          <w:sz w:val="28"/>
          <w:color w:val="000000"/>
        </w:rPr>
        <w:t>10.2.2安全教育培训费用</w:t>
      </w:r>
    </w:p>
    <w:p>
      <w:pPr>
        <w:spacing w:lineRule="exact" w:line="540" w:before="0" w:after="0"/>
        <w:ind w:firstLineChars="200" w:firstLine="280"/>
        <w:jc w:val="both"/>
      </w:pPr>
      <w:r>
        <w:rPr>
          <w:rFonts w:ascii="宋体" w:hAnsi="宋体" w:eastAsia="宋体" w:cs="宋体" w:hint="eastAsia"/>
          <w:b w:val="0"/>
          <w:i w:val="0"/>
          <w:sz w:val="28"/>
        </w:rPr>
        <w:t>安全教育培训费用包括安全生产管理人员、特种作业人员及其他从业人员的培训费用，按建设单位提供的培训计划与收费标准计列，见表 10-2-2。</w:t>
      </w:r>
    </w:p>
    <w:p>
      <w:pPr>
        <w:keepNext/>
        <w:spacing w:before="0" w:after="0" w:lineRule="exact" w:line="540"/>
        <w:ind w:firstLine="0"/>
        <w:jc w:val="center"/>
      </w:pPr>
      <w:r>
        <w:rPr>
          <w:rFonts w:ascii="宋体" w:hAnsi="宋体" w:eastAsia="宋体" w:cs="宋体" w:hint="eastAsia"/>
          <w:b w:val="0"/>
          <w:i w:val="0"/>
          <w:sz w:val="28"/>
        </w:rPr>
        <w:t>表10-2-2 安全教育设备和设施投资概算表</w:t>
      </w:r>
    </w:p>
    <w:tbl>
      <w:tblPr>
        <w:tblW w:w="9213" w:type="dxa"/>
        <w:jc w:val="center"/>
        <w:tblInd w:w="0" w:type="dxa"/>
        <w:tblLayout w:type="fixed"/>
        <w:tblCellMar>
          <w:top w:w="0" w:type="dxa"/>
          <w:left w:w="108" w:type="dxa"/>
          <w:bottom w:w="0" w:type="dxa"/>
          <w:right w:w="108" w:type="dxa"/>
        </w:tblCellMar>
      </w:tblPr>
      <w:tblGrid>
        <w:gridCol w:w="806"/>
        <w:gridCol w:w="4837"/>
        <w:gridCol w:w="1727"/>
        <w:gridCol w:w="1843"/>
      </w:tblGrid>
      <w:tr>
        <w:trPr>
          <w:tblHeader w:val="true"/>
          <w:cantSplit w:val="true"/>
          <w:trHeight w:val="482" w:hRule="atLeast"/>
        </w:trPr>
        <w:tc>
          <w:tcPr>
            <w:tcW w:type="dxa" w:w="80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4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费用项目</w:t>
            </w:r>
          </w:p>
        </w:tc>
        <w:tc>
          <w:tcPr>
            <w:tcW w:type="dxa" w:w="17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费用（万元）</w:t>
            </w:r>
          </w:p>
        </w:tc>
        <w:tc>
          <w:tcPr>
            <w:tcW w:type="dxa" w:w="18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　注</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安全教育培训</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8</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4592"/>
            <w:vAlign w:val="center"/>
            <w:gridSpan w:val="2"/>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合计</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8.00</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keepNext/>
        <w:spacing w:lineRule="exact" w:line="540" w:before="156" w:after="156"/>
        <w:ind w:firstLine="0"/>
        <w:jc w:val="left"/>
        <w:outlineLvl w:val="2"/>
      </w:pPr>
      <w:r>
        <w:rPr>
          <w:rFonts w:ascii="黑体" w:hAnsi="黑体" w:eastAsia="黑体" w:cs="黑体" w:hint="eastAsia"/>
          <w:b w:val="0"/>
          <w:i w:val="0"/>
          <w:sz w:val="28"/>
          <w:color w:val="000000"/>
        </w:rPr>
        <w:t>10.2.3事故应急救援措施费用</w:t>
      </w:r>
    </w:p>
    <w:p>
      <w:pPr>
        <w:spacing w:lineRule="exact" w:line="540" w:before="0" w:after="0"/>
        <w:ind w:firstLineChars="200" w:firstLine="280"/>
        <w:jc w:val="both"/>
      </w:pPr>
      <w:r>
        <w:rPr>
          <w:rFonts w:ascii="宋体" w:hAnsi="宋体" w:eastAsia="宋体" w:cs="宋体" w:hint="eastAsia"/>
          <w:b w:val="0"/>
          <w:i w:val="0"/>
          <w:sz w:val="28"/>
        </w:rPr>
        <w:t>事故应急救援措施费用包括应急器材、个体防护用品及现场急救物资的配置费用，按建设单位提供的配置数量与单价计列，见表 10-2-3。</w:t>
      </w:r>
    </w:p>
    <w:p>
      <w:pPr>
        <w:keepNext/>
        <w:spacing w:before="0" w:after="0" w:lineRule="exact" w:line="540"/>
        <w:ind w:firstLine="0"/>
        <w:jc w:val="center"/>
      </w:pPr>
      <w:r>
        <w:rPr>
          <w:rFonts w:ascii="宋体" w:hAnsi="宋体" w:eastAsia="宋体" w:cs="宋体" w:hint="eastAsia"/>
          <w:b w:val="0"/>
          <w:i w:val="0"/>
          <w:sz w:val="28"/>
        </w:rPr>
        <w:t>表10-2-3 事故应急措施费用</w:t>
      </w:r>
    </w:p>
    <w:tbl>
      <w:tblPr>
        <w:tblW w:w="9213" w:type="dxa"/>
        <w:jc w:val="center"/>
        <w:tblInd w:w="0" w:type="dxa"/>
        <w:tblLayout w:type="fixed"/>
        <w:tblCellMar>
          <w:top w:w="0" w:type="dxa"/>
          <w:left w:w="108" w:type="dxa"/>
          <w:bottom w:w="0" w:type="dxa"/>
          <w:right w:w="108" w:type="dxa"/>
        </w:tblCellMar>
      </w:tblPr>
      <w:tblGrid>
        <w:gridCol w:w="717"/>
        <w:gridCol w:w="4477"/>
        <w:gridCol w:w="1952"/>
        <w:gridCol w:w="2066"/>
      </w:tblGrid>
      <w:tr>
        <w:trPr>
          <w:tblHeader w:val="true"/>
          <w:cantSplit w:val="true"/>
          <w:trHeight w:val="482" w:hRule="atLeast"/>
        </w:trPr>
        <w:tc>
          <w:tcPr>
            <w:tcW w:type="dxa" w:w="71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447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费用项目</w:t>
            </w:r>
          </w:p>
        </w:tc>
        <w:tc>
          <w:tcPr>
            <w:tcW w:type="dxa" w:w="19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配置数量</w:t>
            </w:r>
          </w:p>
        </w:tc>
        <w:tc>
          <w:tcPr>
            <w:tcW w:type="dxa" w:w="206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费用（万元）</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灭火器配置</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应急照明及疏散指示标志</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急救箱及担架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个体防护用品</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应急演练物资</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6888"/>
            <w:vAlign w:val="center"/>
            <w:gridSpan w:val="3"/>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合计</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keepNext/>
        <w:spacing w:lineRule="exact" w:line="540" w:before="156" w:after="156"/>
        <w:ind w:firstLine="0"/>
        <w:jc w:val="left"/>
        <w:outlineLvl w:val="2"/>
      </w:pPr>
      <w:r>
        <w:rPr>
          <w:rFonts w:ascii="黑体" w:hAnsi="黑体" w:eastAsia="黑体" w:cs="黑体" w:hint="eastAsia"/>
          <w:b w:val="0"/>
          <w:i w:val="0"/>
          <w:sz w:val="28"/>
          <w:color w:val="000000"/>
        </w:rPr>
        <w:t>10.2.4其它安全投资费用</w:t>
      </w:r>
    </w:p>
    <w:p>
      <w:pPr>
        <w:spacing w:lineRule="exact" w:line="540" w:before="0" w:after="0"/>
        <w:ind w:firstLineChars="200" w:firstLine="280"/>
        <w:jc w:val="both"/>
      </w:pPr>
      <w:r>
        <w:rPr>
          <w:rFonts w:ascii="宋体" w:hAnsi="宋体" w:eastAsia="宋体" w:cs="宋体" w:hint="eastAsia"/>
          <w:b w:val="0"/>
          <w:i w:val="0"/>
          <w:sz w:val="28"/>
        </w:rPr>
        <w:t>其它安全费用包括特种设备检测、安全防护装备检测维修及安全设施设计专篇编制等费用，见表 10-2-4。</w:t>
      </w:r>
    </w:p>
    <w:p>
      <w:pPr>
        <w:keepNext/>
        <w:spacing w:before="0" w:after="0" w:lineRule="exact" w:line="540"/>
        <w:ind w:firstLine="0"/>
        <w:jc w:val="center"/>
      </w:pPr>
      <w:r>
        <w:rPr>
          <w:rFonts w:ascii="宋体" w:hAnsi="宋体" w:eastAsia="宋体" w:cs="宋体" w:hint="eastAsia"/>
          <w:b w:val="0"/>
          <w:i w:val="0"/>
          <w:sz w:val="28"/>
        </w:rPr>
        <w:t>表10-2-4 其它安全费用</w:t>
      </w:r>
    </w:p>
    <w:tbl>
      <w:tblPr>
        <w:tblW w:w="9213" w:type="dxa"/>
        <w:jc w:val="center"/>
        <w:tblInd w:w="0" w:type="dxa"/>
        <w:tblLayout w:type="fixed"/>
        <w:tblCellMar>
          <w:top w:w="0" w:type="dxa"/>
          <w:left w:w="108" w:type="dxa"/>
          <w:bottom w:w="0" w:type="dxa"/>
          <w:right w:w="108" w:type="dxa"/>
        </w:tblCellMar>
      </w:tblPr>
      <w:tblGrid>
        <w:gridCol w:w="806"/>
        <w:gridCol w:w="4837"/>
        <w:gridCol w:w="1727"/>
        <w:gridCol w:w="1843"/>
      </w:tblGrid>
      <w:tr>
        <w:trPr>
          <w:tblHeader w:val="true"/>
          <w:cantSplit w:val="true"/>
          <w:trHeight w:val="482" w:hRule="atLeast"/>
        </w:trPr>
        <w:tc>
          <w:tcPr>
            <w:tcW w:type="dxa" w:w="80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4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费用项目</w:t>
            </w:r>
          </w:p>
        </w:tc>
        <w:tc>
          <w:tcPr>
            <w:tcW w:type="dxa" w:w="172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费用（万元）</w:t>
            </w:r>
          </w:p>
        </w:tc>
        <w:tc>
          <w:tcPr>
            <w:tcW w:type="dxa" w:w="184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　注</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特种设备检测检验</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安全防护装置检测与维修</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安全警示标志及标识牌</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安全生产责任保险</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安全设施设计专篇编制费</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4592"/>
            <w:vAlign w:val="center"/>
            <w:gridSpan w:val="2"/>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合计</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11安全预评价报告中安全对策措施建议的采纳情况</w:t>
      </w:r>
    </w:p>
    <w:p>
      <w:pPr>
        <w:pStyle w:val="Heading2"/>
        <w:keepNext/>
        <w:spacing w:lineRule="exact" w:line="540" w:before="120" w:after="120"/>
        <w:ind w:firstLine="0"/>
        <w:jc w:val="both"/>
      </w:pPr>
      <w:r>
        <w:rPr>
          <w:rFonts w:ascii="楷体" w:hAnsi="楷体" w:eastAsia="楷体" w:cs="楷体" w:hint="eastAsia"/>
          <w:b w:val="0"/>
          <w:i w:val="0"/>
          <w:sz w:val="32"/>
          <w:color w:val="000000"/>
        </w:rPr>
        <w:t>11.1安全设施工程内容</w:t>
      </w:r>
    </w:p>
    <w:p>
      <w:pPr>
        <w:spacing w:lineRule="exact" w:line="540" w:before="0" w:after="0"/>
        <w:ind w:firstLineChars="200" w:firstLine="280"/>
        <w:jc w:val="both"/>
      </w:pPr>
      <w:r>
        <w:rPr>
          <w:rFonts w:ascii="宋体" w:hAnsi="宋体" w:eastAsia="宋体" w:cs="宋体" w:hint="eastAsia"/>
          <w:b w:val="0"/>
          <w:i w:val="0"/>
          <w:sz w:val="28"/>
        </w:rPr>
        <w:t>本节按总平面与建筑、工艺与设备、电气安全、消防设施、检测报警、个体防护与应急六个专业汇总安全设施工程内容，见表 11-1-1。各专业的工程量、设备选型与实施阶段以施工图设计和施工组织方案为准；安全设施投资分项见第 10 章，分项费用按建设单位提供的投资资料列示。</w:t>
      </w:r>
    </w:p>
    <w:p>
      <w:pPr>
        <w:keepNext/>
        <w:spacing w:before="0" w:after="0" w:lineRule="exact" w:line="540"/>
        <w:ind w:firstLine="0"/>
        <w:jc w:val="center"/>
      </w:pPr>
      <w:r>
        <w:rPr>
          <w:rFonts w:ascii="宋体" w:hAnsi="宋体" w:eastAsia="宋体" w:cs="宋体" w:hint="eastAsia"/>
          <w:b w:val="0"/>
          <w:i w:val="0"/>
          <w:sz w:val="28"/>
        </w:rPr>
        <w:t>表11-1-1 安全设施工程内容一览表</w:t>
      </w:r>
    </w:p>
    <w:tbl>
      <w:tblPr>
        <w:tblW w:w="9213" w:type="dxa"/>
        <w:jc w:val="center"/>
        <w:tblInd w:w="0" w:type="dxa"/>
        <w:tblLayout w:type="fixed"/>
        <w:tblCellMar>
          <w:top w:w="0" w:type="dxa"/>
          <w:left w:w="108" w:type="dxa"/>
          <w:bottom w:w="0" w:type="dxa"/>
          <w:right w:w="108" w:type="dxa"/>
        </w:tblCellMar>
      </w:tblPr>
      <w:tblGrid>
        <w:gridCol w:w="1958"/>
        <w:gridCol w:w="4376"/>
        <w:gridCol w:w="1497"/>
        <w:gridCol w:w="1382"/>
      </w:tblGrid>
      <w:tr>
        <w:trPr>
          <w:tblHeader w:val="true"/>
          <w:cantSplit w:val="true"/>
          <w:trHeight w:val="482" w:hRule="atLeast"/>
        </w:trPr>
        <w:tc>
          <w:tcPr>
            <w:tcW w:type="dxa" w:w="195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工程类别</w:t>
            </w:r>
          </w:p>
        </w:tc>
        <w:tc>
          <w:tcPr>
            <w:tcW w:type="dxa" w:w="437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主要内容</w:t>
            </w:r>
          </w:p>
        </w:tc>
        <w:tc>
          <w:tcPr>
            <w:tcW w:type="dxa" w:w="149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对应章节</w:t>
            </w:r>
          </w:p>
        </w:tc>
        <w:tc>
          <w:tcPr>
            <w:tcW w:type="dxa" w:w="138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实施阶段</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总平面与建筑</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功能分区、防火间距、安全疏散、消防车道</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第 4 章</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设计/施工</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工艺与设备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防护装置、联锁、急停、检修平台</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第 6.2 节</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设计/安装</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电气安全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供配电、保护接地、防雷防静电、防爆电气</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第 6.4 节</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设计/安装</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消防设施</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消防水源、消火栓、自动灭火、灭火器、报警</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第 6.3 节</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设计/施工</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检测报警</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可燃气体、有毒气体、粉尘、火灾报警</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第 5.3、6.2 节</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设计/安装</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个体防护与应急</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劳动防护用品、应急器材、应急照明</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第 7.4、7.5 节</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采购/配置</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11.2安全预评价报告结论</w:t>
      </w:r>
    </w:p>
    <w:p>
      <w:pPr>
        <w:spacing w:lineRule="exact" w:line="540" w:before="0" w:after="0"/>
        <w:ind w:firstLineChars="200" w:firstLine="280"/>
        <w:jc w:val="both"/>
      </w:pPr>
      <w:r>
        <w:rPr>
          <w:rFonts w:ascii="宋体" w:hAnsi="宋体" w:eastAsia="宋体" w:cs="宋体" w:hint="eastAsia"/>
          <w:b w:val="0"/>
          <w:i w:val="0"/>
          <w:sz w:val="28"/>
        </w:rPr>
        <w:t>安全预评价报告提出的对策措施共 4 条，其中明确采纳 0 条，其余为部分采纳或需在施工图阶段落实。逐条采纳情况见表 11-3-1。预评价报告的结论性意见已作为本专篇第 3 章、第 5 章与第 6 章的设计输入。</w:t>
      </w:r>
    </w:p>
    <w:p>
      <w:pPr>
        <w:pStyle w:val="Heading2"/>
        <w:keepNext/>
        <w:spacing w:lineRule="exact" w:line="540" w:before="120" w:after="120"/>
        <w:ind w:firstLine="0"/>
        <w:jc w:val="both"/>
      </w:pPr>
      <w:r>
        <w:rPr>
          <w:rFonts w:ascii="楷体" w:hAnsi="楷体" w:eastAsia="楷体" w:cs="楷体" w:hint="eastAsia"/>
          <w:b w:val="0"/>
          <w:i w:val="0"/>
          <w:sz w:val="32"/>
          <w:color w:val="000000"/>
        </w:rPr>
        <w:t>11.3安全措施采纳情况</w:t>
      </w:r>
    </w:p>
    <w:p>
      <w:pPr>
        <w:spacing w:lineRule="exact" w:line="540" w:before="0" w:after="0"/>
        <w:ind w:firstLineChars="200" w:firstLine="280"/>
        <w:jc w:val="both"/>
      </w:pPr>
      <w:r>
        <w:rPr>
          <w:rFonts w:ascii="宋体" w:hAnsi="宋体" w:eastAsia="宋体" w:cs="宋体" w:hint="eastAsia"/>
          <w:b w:val="0"/>
          <w:i w:val="0"/>
          <w:sz w:val="28"/>
        </w:rPr>
        <w:t>本节对照安全预评价报告提出的 4 条安全对策措施逐项说明采纳情况，见表 11-3-1。已采纳的措施在设计中落实；未采纳或部分采纳的，应说明理由并采取等效替代措施。采纳情况以建设单位提供的预评价报告及审查意见为准。</w:t>
      </w:r>
    </w:p>
    <w:p>
      <w:pPr>
        <w:keepNext/>
        <w:spacing w:before="0" w:after="0" w:lineRule="exact" w:line="540"/>
        <w:ind w:firstLine="0"/>
        <w:jc w:val="center"/>
      </w:pPr>
      <w:r>
        <w:rPr>
          <w:rFonts w:ascii="宋体" w:hAnsi="宋体" w:eastAsia="宋体" w:cs="宋体" w:hint="eastAsia"/>
          <w:b w:val="0"/>
          <w:i w:val="0"/>
          <w:sz w:val="28"/>
        </w:rPr>
        <w:t>表11-3-1 安全预评价报告提出的安全对策措施及建议采纳情况说明</w:t>
      </w:r>
    </w:p>
    <w:tbl>
      <w:tblPr>
        <w:tblW w:w="9213" w:type="dxa"/>
        <w:jc w:val="center"/>
        <w:tblInd w:w="0" w:type="dxa"/>
        <w:tblLayout w:type="fixed"/>
        <w:tblCellMar>
          <w:top w:w="0" w:type="dxa"/>
          <w:left w:w="108" w:type="dxa"/>
          <w:bottom w:w="0" w:type="dxa"/>
          <w:right w:w="108" w:type="dxa"/>
        </w:tblCellMar>
      </w:tblPr>
      <w:tblGrid>
        <w:gridCol w:w="700"/>
        <w:gridCol w:w="4816"/>
        <w:gridCol w:w="3696"/>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481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报告中提出的安全对策措施</w:t>
            </w:r>
          </w:p>
        </w:tc>
        <w:tc>
          <w:tcPr>
            <w:tcW w:type="dxa" w:w="36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设计中采纳情况</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 建议在焊接作业区设置移动式焊烟净化装置</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已采纳</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 建议喷粉作业区按可燃粉尘场所进行电气防爆设计</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已采纳</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 建议完善厂区消防车道与室外消火栓布置</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已采纳</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 建议对起重机吊装作业实行作业许可管理</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已采纳</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12预期效果与建议</w:t>
      </w:r>
    </w:p>
    <w:p>
      <w:pPr>
        <w:pStyle w:val="Heading2"/>
        <w:keepNext/>
        <w:spacing w:lineRule="exact" w:line="540" w:before="120" w:after="120"/>
        <w:ind w:firstLine="0"/>
        <w:jc w:val="both"/>
      </w:pPr>
      <w:r>
        <w:rPr>
          <w:rFonts w:ascii="楷体" w:hAnsi="楷体" w:eastAsia="楷体" w:cs="楷体" w:hint="eastAsia"/>
          <w:b w:val="0"/>
          <w:i w:val="0"/>
          <w:sz w:val="32"/>
          <w:color w:val="000000"/>
        </w:rPr>
        <w:t>12.1结论及预期效果</w:t>
      </w:r>
    </w:p>
    <w:p>
      <w:pPr>
        <w:spacing w:lineRule="exact" w:line="540" w:before="0" w:after="0"/>
        <w:ind w:firstLineChars="200" w:firstLine="280"/>
        <w:jc w:val="both"/>
      </w:pPr>
      <w:r>
        <w:rPr>
          <w:rFonts w:ascii="宋体" w:hAnsi="宋体" w:eastAsia="宋体" w:cs="宋体" w:hint="eastAsia"/>
          <w:b w:val="0"/>
          <w:i w:val="0"/>
          <w:sz w:val="28"/>
        </w:rPr>
        <w:t>本专篇按《建设项目安全设施“三同时”监督管理办法》与相关标准的要求，对项目存在的危险有害因素进行了辨识与分析，提出了总平面、建筑、工艺、设备、电气、消防、职业危害与应急等方面的安全设施设计措施。在上述措施与主体工程同时设计、同时施工、同时投入使用的前提下，项目风险可控制在可接受范围内。预期效果指标见表 12-1-1。</w:t>
      </w:r>
    </w:p>
    <w:p>
      <w:pPr>
        <w:keepNext/>
        <w:spacing w:before="0" w:after="0" w:lineRule="exact" w:line="540"/>
        <w:ind w:firstLine="0"/>
        <w:jc w:val="center"/>
      </w:pPr>
      <w:r>
        <w:rPr>
          <w:rFonts w:ascii="宋体" w:hAnsi="宋体" w:eastAsia="宋体" w:cs="宋体" w:hint="eastAsia"/>
          <w:b w:val="0"/>
          <w:i w:val="0"/>
          <w:sz w:val="28"/>
        </w:rPr>
        <w:t>表12-1-1 预期效果指标表</w:t>
      </w:r>
    </w:p>
    <w:tbl>
      <w:tblPr>
        <w:tblW w:w="9213" w:type="dxa"/>
        <w:jc w:val="center"/>
        <w:tblInd w:w="0" w:type="dxa"/>
        <w:tblLayout w:type="fixed"/>
        <w:tblCellMar>
          <w:top w:w="0" w:type="dxa"/>
          <w:left w:w="108" w:type="dxa"/>
          <w:bottom w:w="0" w:type="dxa"/>
          <w:right w:w="108" w:type="dxa"/>
        </w:tblCellMar>
      </w:tblPr>
      <w:tblGrid>
        <w:gridCol w:w="2991"/>
        <w:gridCol w:w="2991"/>
        <w:gridCol w:w="3230"/>
      </w:tblGrid>
      <w:tr>
        <w:trPr>
          <w:tblHeader w:val="true"/>
          <w:cantSplit w:val="true"/>
          <w:trHeight w:val="482" w:hRule="atLeast"/>
        </w:trPr>
        <w:tc>
          <w:tcPr>
            <w:tcW w:type="dxa" w:w="299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指标</w:t>
            </w:r>
          </w:p>
        </w:tc>
        <w:tc>
          <w:tcPr>
            <w:tcW w:type="dxa" w:w="299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目标值</w:t>
            </w:r>
          </w:p>
        </w:tc>
        <w:tc>
          <w:tcPr>
            <w:tcW w:type="dxa" w:w="323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评价方法</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主要危险有害因素辨识覆盖率</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对照工艺、设备、物料清单核查</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安全设施与主体工程同时设计、施工、投入使用</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三同时台账与验收资料</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特种作业人员持证率</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证书台账核查</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从业人员安全培训率</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培训档案核查</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应急预案演练完成率</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演练记录核查</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重大事故隐患整改率</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100%</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隐患排查治理台账</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12.2建议</w:t>
      </w:r>
    </w:p>
    <w:p>
      <w:pPr>
        <w:spacing w:lineRule="exact" w:line="540" w:before="0" w:after="0"/>
        <w:ind w:firstLineChars="200" w:firstLine="280"/>
        <w:jc w:val="both"/>
      </w:pPr>
      <w:r>
        <w:rPr>
          <w:rFonts w:ascii="宋体" w:hAnsi="宋体" w:eastAsia="宋体" w:cs="宋体" w:hint="eastAsia"/>
          <w:b w:val="0"/>
          <w:i w:val="0"/>
          <w:sz w:val="28"/>
        </w:rPr>
        <w:t>建议建设单位在施工图设计与施工阶段落实下列事项：（1）按本专篇与安全预评价意见完善施工图，不得擅自变更总平面、防火分区与安全设施配置；（2）设备选型与安装应符合安全设施设计要求，特种设备办理使用登记；（3）建立全员安全生产责任制、规章制度与操作规程；（4）编制应急预案并组织演练；（5）试生产前组织安全设施验收，验收合格后方可投入生产和使用。</w:t>
      </w:r>
    </w:p>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13可能出现的事故预防及应急救援措施</w:t>
      </w:r>
    </w:p>
    <w:p>
      <w:pPr>
        <w:pStyle w:val="Heading2"/>
        <w:keepNext/>
        <w:spacing w:lineRule="exact" w:line="540" w:before="120" w:after="120"/>
        <w:ind w:firstLine="0"/>
        <w:jc w:val="both"/>
      </w:pPr>
      <w:r>
        <w:rPr>
          <w:rFonts w:ascii="楷体" w:hAnsi="楷体" w:eastAsia="楷体" w:cs="楷体" w:hint="eastAsia"/>
          <w:b w:val="0"/>
          <w:i w:val="0"/>
          <w:sz w:val="32"/>
          <w:color w:val="000000"/>
        </w:rPr>
        <w:t>13.1可能出现的重大事故类型</w:t>
      </w:r>
    </w:p>
    <w:p>
      <w:pPr>
        <w:spacing w:lineRule="exact" w:line="540" w:before="0" w:after="0"/>
        <w:ind w:firstLineChars="200" w:firstLine="280"/>
        <w:jc w:val="both"/>
      </w:pPr>
      <w:r>
        <w:rPr>
          <w:rFonts w:ascii="宋体" w:hAnsi="宋体" w:eastAsia="宋体" w:cs="宋体" w:hint="eastAsia"/>
          <w:b w:val="0"/>
          <w:i w:val="0"/>
          <w:sz w:val="28"/>
        </w:rPr>
        <w:t>按《企业职工伤亡事故分类》GB 6441-2025，结合本项目工艺、设备与物料情况，可能发生的事故类型包括：粉尘爆炸、火灾、灼烫、触电、物体打击、容器爆炸、起重致害、厂（场）内车辆致害、机械致害。各事故类型的可能发生场所、影响范围与主要预防措施见表 13-1-1。</w:t>
      </w:r>
    </w:p>
    <w:p>
      <w:pPr>
        <w:keepNext/>
        <w:spacing w:before="0" w:after="0" w:lineRule="exact" w:line="540"/>
        <w:ind w:firstLine="0"/>
        <w:jc w:val="center"/>
      </w:pPr>
      <w:r>
        <w:rPr>
          <w:rFonts w:ascii="宋体" w:hAnsi="宋体" w:eastAsia="宋体" w:cs="宋体" w:hint="eastAsia"/>
          <w:b w:val="0"/>
          <w:i w:val="0"/>
          <w:sz w:val="28"/>
        </w:rPr>
        <w:t>表13-1-1 事故预防措施表</w:t>
      </w:r>
    </w:p>
    <w:tbl>
      <w:tblPr>
        <w:tblW w:w="9213" w:type="dxa"/>
        <w:jc w:val="center"/>
        <w:tblInd w:w="0" w:type="dxa"/>
        <w:tblLayout w:type="fixed"/>
        <w:tblCellMar>
          <w:top w:w="0" w:type="dxa"/>
          <w:left w:w="108" w:type="dxa"/>
          <w:bottom w:w="0" w:type="dxa"/>
          <w:right w:w="108" w:type="dxa"/>
        </w:tblCellMar>
      </w:tblPr>
      <w:tblGrid>
        <w:gridCol w:w="1675"/>
        <w:gridCol w:w="3948"/>
        <w:gridCol w:w="2154"/>
        <w:gridCol w:w="1436"/>
      </w:tblGrid>
      <w:tr>
        <w:trPr>
          <w:tblHeader w:val="true"/>
          <w:cantSplit w:val="true"/>
          <w:trHeight w:val="482" w:hRule="atLeast"/>
        </w:trPr>
        <w:tc>
          <w:tcPr>
            <w:tcW w:type="dxa" w:w="167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事故类型</w:t>
            </w:r>
          </w:p>
        </w:tc>
        <w:tc>
          <w:tcPr>
            <w:tcW w:type="dxa" w:w="394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预防措施</w:t>
            </w:r>
          </w:p>
        </w:tc>
        <w:tc>
          <w:tcPr>
            <w:tcW w:type="dxa" w:w="215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监测预警</w:t>
            </w:r>
          </w:p>
        </w:tc>
        <w:tc>
          <w:tcPr>
            <w:tcW w:type="dxa" w:w="143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责任部门</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粉尘爆炸</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both"/>
            </w:pPr>
            <w:r>
              <w:rPr>
                <w:rFonts w:ascii="宋体" w:hAnsi="宋体" w:eastAsia="宋体" w:cs="宋体" w:hint="eastAsia"/>
                <w:b w:val="0"/>
                <w:i w:val="0"/>
                <w:sz w:val="21"/>
              </w:rPr>
              <w:t>除尘系统防爆、控制粉尘云与积尘、采用防爆电气并设置泄爆与探测报警</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火灾</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控制可燃物、消除点火源、设置灭火器材与火灾报警</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灼烫</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隔热保温、防喷溅、佩戴耐高温防护用品</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触电</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保护接地/接零、漏电保护、电气检修挂牌上锁</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物体打击</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设置防护棚、规范堆放、进入危险区佩戴安全帽</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容器爆炸</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压力容器定期检验、设置安全阀与压力监视、按规程操作</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起重致害</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起重机械定期检验、持证操作、吊装区域警戒</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厂（场）内车辆致害</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限速、分区行驶、人车分流、装卸区警戒</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机械致害</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防护罩/防护栏、急停装置、联锁与安全操作规程</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巡检、检测报警、视频监控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13.2事故状态下应急救援措施和现场处理措施</w:t>
      </w:r>
    </w:p>
    <w:p>
      <w:pPr>
        <w:spacing w:lineRule="exact" w:line="540" w:before="0" w:after="0"/>
        <w:ind w:firstLineChars="200" w:firstLine="280"/>
        <w:jc w:val="both"/>
      </w:pPr>
      <w:r>
        <w:rPr>
          <w:rFonts w:ascii="宋体" w:hAnsi="宋体" w:eastAsia="宋体" w:cs="宋体" w:hint="eastAsia"/>
          <w:b w:val="0"/>
          <w:i w:val="0"/>
          <w:sz w:val="28"/>
        </w:rPr>
        <w:t>事故状态下应急救援按“报警与响应、现场警戒、抢险救援、医疗救护、人员疏散、环境监测、恢复”的程序实施。发生事故后，现场人员应立即报警并报告应急指挥部，启动相应级别的应急响应；抢险救援人员应佩戴与事故类型相适应的个体防护用品进入现场；警戒保卫组划定警戒区并疏散无关人员；医疗救护组对伤员实施现场急救并送医。主要事故现场处置措施见表 13-2-2。</w:t>
      </w:r>
    </w:p>
    <w:p>
      <w:pPr>
        <w:keepNext/>
        <w:spacing w:before="0" w:after="0" w:lineRule="exact" w:line="540"/>
        <w:ind w:firstLine="0"/>
        <w:jc w:val="center"/>
      </w:pPr>
      <w:r>
        <w:rPr>
          <w:rFonts w:ascii="宋体" w:hAnsi="宋体" w:eastAsia="宋体" w:cs="宋体" w:hint="eastAsia"/>
          <w:b w:val="0"/>
          <w:i w:val="0"/>
          <w:sz w:val="28"/>
        </w:rPr>
        <w:t>表13-2-1 应急救援器材配置表</w:t>
      </w:r>
    </w:p>
    <w:tbl>
      <w:tblPr>
        <w:tblW w:w="9213" w:type="dxa"/>
        <w:jc w:val="center"/>
        <w:tblInd w:w="0" w:type="dxa"/>
        <w:tblLayout w:type="fixed"/>
        <w:tblCellMar>
          <w:top w:w="0" w:type="dxa"/>
          <w:left w:w="108" w:type="dxa"/>
          <w:bottom w:w="0" w:type="dxa"/>
          <w:right w:w="108" w:type="dxa"/>
        </w:tblCellMar>
      </w:tblPr>
      <w:tblGrid>
        <w:gridCol w:w="2598"/>
        <w:gridCol w:w="1063"/>
        <w:gridCol w:w="1063"/>
        <w:gridCol w:w="2126"/>
        <w:gridCol w:w="2362"/>
      </w:tblGrid>
      <w:tr>
        <w:trPr>
          <w:tblHeader w:val="true"/>
          <w:cantSplit w:val="true"/>
          <w:trHeight w:val="482" w:hRule="atLeast"/>
        </w:trPr>
        <w:tc>
          <w:tcPr>
            <w:tcW w:type="dxa" w:w="259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器材名称</w:t>
            </w:r>
          </w:p>
        </w:tc>
        <w:tc>
          <w:tcPr>
            <w:tcW w:type="dxa" w:w="10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单位</w:t>
            </w:r>
          </w:p>
        </w:tc>
        <w:tc>
          <w:tcPr>
            <w:tcW w:type="dxa" w:w="106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数量</w:t>
            </w:r>
          </w:p>
        </w:tc>
        <w:tc>
          <w:tcPr>
            <w:tcW w:type="dxa" w:w="212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存放地点</w:t>
            </w:r>
          </w:p>
        </w:tc>
        <w:tc>
          <w:tcPr>
            <w:tcW w:type="dxa" w:w="23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用途</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急救箱</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个</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现场急救</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担架</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副</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伤员转运</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应急照明灯</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个</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停电照明</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警戒带</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卷</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现场警戒</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灭火器材</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具</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初期火灾扑救</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应急广播</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套</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人员疏散通知</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正压式空气呼吸器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套</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缺氧或有毒环境救援</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防毒面具</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套</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有毒气体环境疏散</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吸附材料</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袋</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泄漏物吸附收集</w:t>
            </w:r>
          </w:p>
        </w:tc>
      </w:tr>
    </w:tbl>
    <w:p>
      <w:pPr>
        <w:keepNext/>
        <w:spacing w:before="0" w:after="0" w:lineRule="exact" w:line="540"/>
        <w:ind w:firstLine="0"/>
        <w:jc w:val="center"/>
      </w:pPr>
      <w:r>
        <w:rPr>
          <w:rFonts w:ascii="宋体" w:hAnsi="宋体" w:eastAsia="宋体" w:cs="宋体" w:hint="eastAsia"/>
          <w:b w:val="0"/>
          <w:i w:val="0"/>
          <w:sz w:val="28"/>
        </w:rPr>
        <w:t>表13-2-2 主要事故现场处置措施表</w:t>
      </w:r>
    </w:p>
    <w:tbl>
      <w:tblPr>
        <w:tblW w:w="9213" w:type="dxa"/>
        <w:jc w:val="center"/>
        <w:tblInd w:w="0" w:type="dxa"/>
        <w:tblLayout w:type="fixed"/>
        <w:tblCellMar>
          <w:top w:w="0" w:type="dxa"/>
          <w:left w:w="108" w:type="dxa"/>
          <w:bottom w:w="0" w:type="dxa"/>
          <w:right w:w="108" w:type="dxa"/>
        </w:tblCellMar>
      </w:tblPr>
      <w:tblGrid>
        <w:gridCol w:w="1795"/>
        <w:gridCol w:w="5025"/>
        <w:gridCol w:w="2393"/>
      </w:tblGrid>
      <w:tr>
        <w:trPr>
          <w:tblHeader w:val="true"/>
          <w:cantSplit w:val="true"/>
          <w:trHeight w:val="482" w:hRule="atLeast"/>
        </w:trPr>
        <w:tc>
          <w:tcPr>
            <w:tcW w:type="dxa" w:w="179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事故类型</w:t>
            </w:r>
          </w:p>
        </w:tc>
        <w:tc>
          <w:tcPr>
            <w:tcW w:type="dxa" w:w="5025"/>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现场处置程序</w:t>
            </w:r>
          </w:p>
        </w:tc>
        <w:tc>
          <w:tcPr>
            <w:tcW w:type="dxa" w:w="239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注意事项</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粉尘爆炸</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火灾</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灼烫</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触电</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物体打击</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容器爆炸</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起重致害</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厂（场）内车辆致害</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r>
        <w:trPr>
          <w:trHeight w:val="482" w:hRule="atLeast"/>
          <w:cantSplit w:val="true"/>
        </w:trPr>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机械致害</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报警→停机/切断危险源→疏散人员→警戒隔离→现场处置→报告</w:t>
            </w:r>
          </w:p>
        </w:tc>
        <w:tc>
          <w:tcPr>
            <w:tcW w:type="dxa" w:w="3062"/>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救援人员须佩戴相应防护用品，严禁盲目施救</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14法律、法规、规章、标准规定需要说明的其他事项</w:t>
      </w:r>
    </w:p>
    <w:p>
      <w:pPr>
        <w:spacing w:lineRule="exact" w:line="540" w:before="0" w:after="0"/>
        <w:ind w:firstLineChars="200" w:firstLine="280"/>
        <w:jc w:val="both"/>
      </w:pPr>
      <w:r>
        <w:rPr>
          <w:rFonts w:ascii="宋体" w:hAnsi="宋体" w:eastAsia="宋体" w:cs="宋体" w:hint="eastAsia"/>
          <w:b w:val="0"/>
          <w:i w:val="0"/>
          <w:sz w:val="28"/>
        </w:rPr>
        <w:t>本专篇需要说明的其他事项包括：（1）设计单位资质、图签、注册人员签字与出图章由具备相应资质的设计单位完成；（2）本专篇依据建设单位提供的资料编制，资料发生变化时应及时修改；（3）本专篇不免除建设单位的安全主体责任；（4）项目投产前应依法组织安全设施验收。具体事项见表14-1。</w:t>
      </w:r>
    </w:p>
    <w:p>
      <w:pPr>
        <w:keepNext/>
        <w:spacing w:before="0" w:after="0" w:lineRule="exact" w:line="540"/>
        <w:ind w:firstLine="0"/>
        <w:jc w:val="center"/>
      </w:pPr>
      <w:r>
        <w:rPr>
          <w:rFonts w:ascii="宋体" w:hAnsi="宋体" w:eastAsia="宋体" w:cs="宋体" w:hint="eastAsia"/>
          <w:b w:val="0"/>
          <w:i w:val="0"/>
          <w:sz w:val="28"/>
        </w:rPr>
        <w:t>表14-1 需要说明的其他事项清单</w:t>
      </w:r>
    </w:p>
    <w:tbl>
      <w:tblPr>
        <w:tblW w:w="9213" w:type="dxa"/>
        <w:jc w:val="center"/>
        <w:tblInd w:w="0" w:type="dxa"/>
        <w:tblLayout w:type="fixed"/>
        <w:tblCellMar>
          <w:top w:w="0" w:type="dxa"/>
          <w:left w:w="108" w:type="dxa"/>
          <w:bottom w:w="0" w:type="dxa"/>
          <w:right w:w="108" w:type="dxa"/>
        </w:tblCellMar>
      </w:tblPr>
      <w:tblGrid>
        <w:gridCol w:w="731"/>
        <w:gridCol w:w="2340"/>
        <w:gridCol w:w="4211"/>
        <w:gridCol w:w="1930"/>
      </w:tblGrid>
      <w:tr>
        <w:trPr>
          <w:tblHeader w:val="true"/>
          <w:cantSplit w:val="true"/>
          <w:trHeight w:val="482" w:hRule="atLeast"/>
        </w:trPr>
        <w:tc>
          <w:tcPr>
            <w:tcW w:type="dxa" w:w="7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3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事项</w:t>
            </w:r>
          </w:p>
        </w:tc>
        <w:tc>
          <w:tcPr>
            <w:tcW w:type="dxa" w:w="421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说明</w:t>
            </w:r>
          </w:p>
        </w:tc>
        <w:tc>
          <w:tcPr>
            <w:tcW w:type="dxa" w:w="193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依据</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设计资质与签章</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本专篇须由具备相应资质的设计单位审核、签字并加盖出图章</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《建设工程勘察设计管理条例》</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施工与安装</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安全设施应与主体工程同时施工，施工单位应具备相应资质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《安全生产法》</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试运行与验收</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试运行前应编制试运行方案，安全设施验收合格后方可投入使用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《建设项目安全设施“三同时”监督管理办法》</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变更管理</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工艺、设备、物料发生重大变更时应重新进行风险分析并修订本专篇</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GB/T 29639</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资料完整性</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红色占位内容须由建设单位核实补齐后方可作为送审稿</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本专篇编制说明</w:t>
            </w:r>
          </w:p>
        </w:tc>
      </w:tr>
    </w:tbl>
    <w:p>
      <w:pPr>
        <w:pStyle w:val="Heading1"/>
        <w:keepNext/>
        <w:pageBreakBefore/>
        <w:spacing w:lineRule="exact" w:line="540" w:before="240" w:after="240"/>
        <w:ind w:firstLine="0"/>
        <w:jc w:val="center"/>
      </w:pPr>
      <w:r>
        <w:rPr>
          <w:rFonts w:ascii="黑体" w:hAnsi="黑体" w:eastAsia="黑体" w:cs="黑体" w:hint="eastAsia"/>
          <w:b w:val="0"/>
          <w:i w:val="0"/>
          <w:sz w:val="32"/>
          <w:color w:val="000000"/>
        </w:rPr>
        <w:t>15附件、附表与附图</w:t>
      </w:r>
    </w:p>
    <w:p>
      <w:pPr>
        <w:pStyle w:val="Heading2"/>
        <w:keepNext/>
        <w:spacing w:lineRule="exact" w:line="540" w:before="120" w:after="120"/>
        <w:ind w:firstLine="0"/>
        <w:jc w:val="both"/>
      </w:pPr>
      <w:r>
        <w:rPr>
          <w:rFonts w:ascii="楷体" w:hAnsi="楷体" w:eastAsia="楷体" w:cs="楷体" w:hint="eastAsia"/>
          <w:b w:val="0"/>
          <w:i w:val="0"/>
          <w:sz w:val="32"/>
          <w:color w:val="000000"/>
        </w:rPr>
        <w:t>15.1附件</w:t>
      </w:r>
    </w:p>
    <w:p>
      <w:pPr>
        <w:spacing w:lineRule="exact" w:line="540" w:before="0" w:after="0"/>
        <w:ind w:firstLineChars="200" w:firstLine="280"/>
        <w:jc w:val="both"/>
      </w:pPr>
      <w:r>
        <w:rPr>
          <w:rFonts w:ascii="宋体" w:hAnsi="宋体" w:eastAsia="宋体" w:cs="宋体" w:hint="eastAsia"/>
          <w:b w:val="0"/>
          <w:i w:val="0"/>
          <w:sz w:val="28"/>
        </w:rPr>
        <w:t>本专篇附件包括下列文件，由建设单位与设计单位在送审时按顺序装订：</w:t>
      </w:r>
    </w:p>
    <w:p>
      <w:pPr>
        <w:spacing w:lineRule="exact" w:line="540" w:before="0" w:after="0"/>
        <w:ind w:firstLineChars="200" w:firstLine="280"/>
        <w:jc w:val="both"/>
      </w:pPr>
      <w:r>
        <w:rPr>
          <w:rFonts w:ascii="宋体" w:hAnsi="宋体" w:eastAsia="宋体" w:cs="宋体" w:hint="eastAsia"/>
          <w:b w:val="0"/>
          <w:i w:val="0"/>
          <w:sz w:val="28"/>
        </w:rPr>
        <w:t>（1）营业执照复印件（加盖建设单位公章）。</w:t>
      </w:r>
    </w:p>
    <w:p>
      <w:pPr>
        <w:spacing w:lineRule="exact" w:line="540" w:before="0" w:after="0"/>
        <w:ind w:firstLineChars="200" w:firstLine="280"/>
        <w:jc w:val="both"/>
      </w:pPr>
      <w:r>
        <w:rPr>
          <w:rFonts w:ascii="宋体" w:hAnsi="宋体" w:eastAsia="宋体" w:cs="宋体" w:hint="eastAsia"/>
          <w:b w:val="0"/>
          <w:i w:val="0"/>
          <w:sz w:val="28"/>
        </w:rPr>
        <w:t>（2）项目备案（核准）文件。</w:t>
      </w:r>
    </w:p>
    <w:p>
      <w:pPr>
        <w:spacing w:lineRule="exact" w:line="540" w:before="0" w:after="0"/>
        <w:ind w:firstLineChars="200" w:firstLine="280"/>
        <w:jc w:val="both"/>
      </w:pPr>
      <w:r>
        <w:rPr>
          <w:rFonts w:ascii="宋体" w:hAnsi="宋体" w:eastAsia="宋体" w:cs="宋体" w:hint="eastAsia"/>
          <w:b w:val="0"/>
          <w:i w:val="0"/>
          <w:sz w:val="28"/>
        </w:rPr>
        <w:t>（3）建设用地规划许可证、建设工程规划许可证。</w:t>
      </w:r>
    </w:p>
    <w:p>
      <w:pPr>
        <w:spacing w:lineRule="exact" w:line="540" w:before="0" w:after="0"/>
        <w:ind w:firstLineChars="200" w:firstLine="280"/>
        <w:jc w:val="both"/>
      </w:pPr>
      <w:r>
        <w:rPr>
          <w:rFonts w:ascii="宋体" w:hAnsi="宋体" w:eastAsia="宋体" w:cs="宋体" w:hint="eastAsia"/>
          <w:b w:val="0"/>
          <w:i w:val="0"/>
          <w:sz w:val="28"/>
        </w:rPr>
        <w:t>（4）国有建设用地使用权证或不动产权证书。</w:t>
      </w:r>
    </w:p>
    <w:p>
      <w:pPr>
        <w:spacing w:lineRule="exact" w:line="540" w:before="0" w:after="0"/>
        <w:ind w:firstLineChars="200" w:firstLine="280"/>
        <w:jc w:val="both"/>
      </w:pPr>
      <w:r>
        <w:rPr>
          <w:rFonts w:ascii="宋体" w:hAnsi="宋体" w:eastAsia="宋体" w:cs="宋体" w:hint="eastAsia"/>
          <w:b w:val="0"/>
          <w:i w:val="0"/>
          <w:sz w:val="28"/>
        </w:rPr>
        <w:t>（5）安全预评价报告及其审查（备案）意见。</w:t>
      </w:r>
    </w:p>
    <w:p>
      <w:pPr>
        <w:spacing w:lineRule="exact" w:line="540" w:before="0" w:after="0"/>
        <w:ind w:firstLineChars="200" w:firstLine="280"/>
        <w:jc w:val="both"/>
      </w:pPr>
      <w:r>
        <w:rPr>
          <w:rFonts w:ascii="宋体" w:hAnsi="宋体" w:eastAsia="宋体" w:cs="宋体" w:hint="eastAsia"/>
          <w:b w:val="0"/>
          <w:i w:val="0"/>
          <w:sz w:val="28"/>
        </w:rPr>
        <w:t>（6）建设单位提供的总平面布置图、建构筑物表、设备清单、原辅材料清单。</w:t>
      </w:r>
    </w:p>
    <w:p>
      <w:pPr>
        <w:spacing w:lineRule="exact" w:line="540" w:before="0" w:after="0"/>
        <w:ind w:firstLineChars="200" w:firstLine="280"/>
        <w:jc w:val="both"/>
      </w:pPr>
      <w:r>
        <w:rPr>
          <w:rFonts w:ascii="宋体" w:hAnsi="宋体" w:eastAsia="宋体" w:cs="宋体" w:hint="eastAsia"/>
          <w:b w:val="0"/>
          <w:i w:val="0"/>
          <w:sz w:val="28"/>
        </w:rPr>
        <w:t>（7）特种设备使用登记证及定期检验报告（如涉及）。</w:t>
      </w:r>
    </w:p>
    <w:p>
      <w:pPr>
        <w:spacing w:lineRule="exact" w:line="540" w:before="0" w:after="0"/>
        <w:ind w:firstLineChars="200" w:firstLine="280"/>
        <w:jc w:val="both"/>
      </w:pPr>
      <w:r>
        <w:rPr>
          <w:rFonts w:ascii="宋体" w:hAnsi="宋体" w:eastAsia="宋体" w:cs="宋体" w:hint="eastAsia"/>
          <w:b w:val="0"/>
          <w:i w:val="0"/>
          <w:sz w:val="28"/>
        </w:rPr>
        <w:t>（8）设计单位资质证书复印件（加盖设计单位公章）。</w:t>
      </w:r>
    </w:p>
    <w:p>
      <w:pPr>
        <w:spacing w:lineRule="exact" w:line="540" w:before="0" w:after="0"/>
        <w:ind w:firstLineChars="200" w:firstLine="280"/>
        <w:jc w:val="both"/>
      </w:pPr>
      <w:r>
        <w:rPr>
          <w:rFonts w:ascii="宋体" w:hAnsi="宋体" w:eastAsia="宋体" w:cs="宋体" w:hint="eastAsia"/>
          <w:b w:val="0"/>
          <w:i w:val="0"/>
          <w:sz w:val="28"/>
        </w:rPr>
        <w:t>（9）设计单位与建设单位签订的设计合同。</w:t>
      </w:r>
    </w:p>
    <w:p>
      <w:pPr>
        <w:spacing w:lineRule="exact" w:line="540" w:before="0" w:after="0"/>
        <w:ind w:firstLineChars="200" w:firstLine="280"/>
        <w:jc w:val="both"/>
      </w:pPr>
      <w:r>
        <w:rPr>
          <w:rFonts w:ascii="宋体" w:hAnsi="宋体" w:eastAsia="宋体" w:cs="宋体" w:hint="eastAsia"/>
          <w:b w:val="0"/>
          <w:i w:val="0"/>
          <w:sz w:val="28"/>
        </w:rPr>
        <w:t>上述附件中，证照类文件应提供有效期内的原件扫描件；清单类文件应与本专篇正文表格的数据一致。附件不齐的，以</w:t>
      </w:r>
      <w:r>
        <w:rPr>
          <w:rFonts w:ascii="宋体" w:hAnsi="宋体" w:eastAsia="宋体" w:cs="宋体" w:hint="eastAsia"/>
          <w:b w:val="0"/>
          <w:i w:val="0"/>
          <w:sz w:val="28"/>
          <w:color w:val="C00000"/>
        </w:rPr>
        <w:t>【待用户填：附件名称及编号】</w:t>
      </w:r>
      <w:r>
        <w:rPr>
          <w:rFonts w:ascii="宋体" w:hAnsi="宋体" w:eastAsia="宋体" w:cs="宋体" w:hint="eastAsia"/>
          <w:b w:val="0"/>
          <w:i w:val="0"/>
          <w:sz w:val="28"/>
        </w:rPr>
        <w:t>标注，送审前补齐。</w:t>
      </w:r>
    </w:p>
    <w:p>
      <w:pPr>
        <w:pStyle w:val="Heading2"/>
        <w:keepNext/>
        <w:spacing w:lineRule="exact" w:line="540" w:before="120" w:after="120"/>
        <w:ind w:firstLine="0"/>
        <w:jc w:val="both"/>
      </w:pPr>
      <w:r>
        <w:rPr>
          <w:rFonts w:ascii="楷体" w:hAnsi="楷体" w:eastAsia="楷体" w:cs="楷体" w:hint="eastAsia"/>
          <w:b w:val="0"/>
          <w:i w:val="0"/>
          <w:sz w:val="32"/>
          <w:color w:val="000000"/>
        </w:rPr>
        <w:t>15.2附表</w:t>
      </w:r>
    </w:p>
    <w:p>
      <w:pPr>
        <w:spacing w:lineRule="exact" w:line="540" w:before="0" w:after="0"/>
        <w:ind w:firstLineChars="200" w:firstLine="280"/>
        <w:jc w:val="both"/>
      </w:pPr>
      <w:r>
        <w:rPr>
          <w:rFonts w:ascii="宋体" w:hAnsi="宋体" w:eastAsia="宋体" w:cs="宋体" w:hint="eastAsia"/>
          <w:b w:val="0"/>
          <w:i w:val="0"/>
          <w:sz w:val="28"/>
        </w:rPr>
        <w:t>本专篇附表共 11 张。附表 1～9 见《安全设施设计附表.xlsx》，包括主要建构筑物一览表、主要生产设备一览表、特种设备及安全附件一览表、主要原辅材料及最大贮量表、安全设施配置汇总表、安全设施专项投资概算表、安全预评价对策措施采纳情况表、事故类型及危险程度分析表、图纸清单；附表 10、附表 11 分别为资料清单与缺项确认表、法规符合性自检表，单独成册。附表清单见表 15-2-1。</w:t>
      </w:r>
    </w:p>
    <w:p>
      <w:pPr>
        <w:keepNext/>
        <w:spacing w:before="0" w:after="0" w:lineRule="exact" w:line="540"/>
        <w:ind w:firstLine="0"/>
        <w:jc w:val="center"/>
      </w:pPr>
      <w:r>
        <w:rPr>
          <w:rFonts w:ascii="宋体" w:hAnsi="宋体" w:eastAsia="宋体" w:cs="宋体" w:hint="eastAsia"/>
          <w:b w:val="0"/>
          <w:i w:val="0"/>
          <w:sz w:val="28"/>
        </w:rPr>
        <w:t>表15-2-1 附表清单</w:t>
      </w:r>
    </w:p>
    <w:tbl>
      <w:tblPr>
        <w:tblW w:w="9213" w:type="dxa"/>
        <w:jc w:val="center"/>
        <w:tblInd w:w="0" w:type="dxa"/>
        <w:tblLayout w:type="fixed"/>
        <w:tblCellMar>
          <w:top w:w="0" w:type="dxa"/>
          <w:left w:w="108" w:type="dxa"/>
          <w:bottom w:w="0" w:type="dxa"/>
          <w:right w:w="108" w:type="dxa"/>
        </w:tblCellMar>
      </w:tblPr>
      <w:tblGrid>
        <w:gridCol w:w="700"/>
        <w:gridCol w:w="3920"/>
        <w:gridCol w:w="2352"/>
        <w:gridCol w:w="2240"/>
      </w:tblGrid>
      <w:tr>
        <w:trPr>
          <w:tblHeader w:val="true"/>
          <w:cantSplit w:val="true"/>
          <w:trHeight w:val="482" w:hRule="atLeast"/>
        </w:trPr>
        <w:tc>
          <w:tcPr>
            <w:tcW w:type="dxa" w:w="70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392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附表名称</w:t>
            </w:r>
          </w:p>
        </w:tc>
        <w:tc>
          <w:tcPr>
            <w:tcW w:type="dxa" w:w="2352"/>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对应文件</w:t>
            </w:r>
          </w:p>
        </w:tc>
        <w:tc>
          <w:tcPr>
            <w:tcW w:type="dxa" w:w="2240"/>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主要建构筑物一览表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2</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主要设备设施一览表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2</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3</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特种设备及安全附件一览表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3</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4</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主要原辅材料及最大贮量表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4</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安全设施配置汇总表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5</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6</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安全设施专项投资概算表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6</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7</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安全预评价对策措施采纳情况表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7</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事故类型及危险程度分析表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8</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9</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图纸清单</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9</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10</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资料清单与缺项确认表</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附表 10</w:t>
            </w:r>
          </w:p>
        </w:tc>
        <w:tc>
          <w:tcPr>
            <w:tcW w:type="dxa" w:w="229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单独成册</w:t>
            </w:r>
          </w:p>
        </w:tc>
      </w:tr>
      <w:tr>
        <w:trPr>
          <w:trHeight w:val="482" w:hRule="atLeast"/>
          <w:cantSplit w:val="true"/>
        </w:trPr>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11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法规符合性自检表</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附表 11</w:t>
            </w:r>
          </w:p>
        </w:tc>
        <w:tc>
          <w:tcPr>
            <w:tcW w:type="dxa" w:w="2296"/>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单独成册</w:t>
            </w:r>
          </w:p>
        </w:tc>
      </w:tr>
    </w:tbl>
    <w:p>
      <w:pPr>
        <w:pStyle w:val="Heading2"/>
        <w:keepNext/>
        <w:spacing w:lineRule="exact" w:line="540" w:before="120" w:after="120"/>
        <w:ind w:firstLine="0"/>
        <w:jc w:val="both"/>
      </w:pPr>
      <w:r>
        <w:rPr>
          <w:rFonts w:ascii="楷体" w:hAnsi="楷体" w:eastAsia="楷体" w:cs="楷体" w:hint="eastAsia"/>
          <w:b w:val="0"/>
          <w:i w:val="0"/>
          <w:sz w:val="32"/>
          <w:color w:val="000000"/>
        </w:rPr>
        <w:t>15.3附图</w:t>
      </w:r>
    </w:p>
    <w:p>
      <w:pPr>
        <w:spacing w:lineRule="exact" w:line="540" w:before="0" w:after="0"/>
        <w:ind w:firstLineChars="200" w:firstLine="280"/>
        <w:jc w:val="both"/>
      </w:pPr>
      <w:r>
        <w:rPr>
          <w:rFonts w:ascii="宋体" w:hAnsi="宋体" w:eastAsia="宋体" w:cs="宋体" w:hint="eastAsia"/>
          <w:b w:val="0"/>
          <w:i w:val="0"/>
          <w:sz w:val="28"/>
        </w:rPr>
        <w:t>本专篇随附附图六张（DXF，仅含图框以内图形）：</w:t>
      </w:r>
    </w:p>
    <w:p>
      <w:pPr>
        <w:spacing w:lineRule="exact" w:line="540" w:before="0" w:after="0"/>
        <w:ind w:firstLineChars="200" w:firstLine="280"/>
        <w:jc w:val="both"/>
      </w:pPr>
      <w:r>
        <w:rPr>
          <w:rFonts w:ascii="宋体" w:hAnsi="宋体" w:eastAsia="宋体" w:cs="宋体" w:hint="eastAsia"/>
          <w:b w:val="0"/>
          <w:i w:val="0"/>
          <w:sz w:val="28"/>
        </w:rPr>
        <w:t>（1）附图-01 工艺流程图；</w:t>
      </w:r>
    </w:p>
    <w:p>
      <w:pPr>
        <w:spacing w:lineRule="exact" w:line="540" w:before="0" w:after="0"/>
        <w:ind w:firstLineChars="200" w:firstLine="280"/>
        <w:jc w:val="both"/>
      </w:pPr>
      <w:r>
        <w:rPr>
          <w:rFonts w:ascii="宋体" w:hAnsi="宋体" w:eastAsia="宋体" w:cs="宋体" w:hint="eastAsia"/>
          <w:b w:val="0"/>
          <w:i w:val="0"/>
          <w:sz w:val="28"/>
        </w:rPr>
        <w:t>（2）附图-02 总平面布置图；</w:t>
      </w:r>
    </w:p>
    <w:p>
      <w:pPr>
        <w:spacing w:lineRule="exact" w:line="540" w:before="0" w:after="0"/>
        <w:ind w:firstLineChars="200" w:firstLine="280"/>
        <w:jc w:val="both"/>
      </w:pPr>
      <w:r>
        <w:rPr>
          <w:rFonts w:ascii="宋体" w:hAnsi="宋体" w:eastAsia="宋体" w:cs="宋体" w:hint="eastAsia"/>
          <w:b w:val="0"/>
          <w:i w:val="0"/>
          <w:sz w:val="28"/>
        </w:rPr>
        <w:t>（3）附图-03 主要生产车间设备布置图。</w:t>
      </w:r>
    </w:p>
    <w:p>
      <w:pPr>
        <w:spacing w:lineRule="exact" w:line="540" w:before="0" w:after="0"/>
        <w:ind w:firstLineChars="200" w:firstLine="280"/>
        <w:jc w:val="both"/>
      </w:pPr>
      <w:r>
        <w:rPr>
          <w:rFonts w:ascii="宋体" w:hAnsi="宋体" w:eastAsia="宋体" w:cs="宋体" w:hint="eastAsia"/>
          <w:b w:val="0"/>
          <w:i w:val="0"/>
          <w:sz w:val="28"/>
        </w:rPr>
        <w:t>（4）附图-04 消防设施平面布置图；</w:t>
      </w:r>
    </w:p>
    <w:p>
      <w:pPr>
        <w:spacing w:lineRule="exact" w:line="540" w:before="0" w:after="0"/>
        <w:ind w:firstLineChars="200" w:firstLine="280"/>
        <w:jc w:val="both"/>
      </w:pPr>
      <w:r>
        <w:rPr>
          <w:rFonts w:ascii="宋体" w:hAnsi="宋体" w:eastAsia="宋体" w:cs="宋体" w:hint="eastAsia"/>
          <w:b w:val="0"/>
          <w:i w:val="0"/>
          <w:sz w:val="28"/>
        </w:rPr>
        <w:t>（5）附图-05 防雷接地平面布置图；</w:t>
      </w:r>
    </w:p>
    <w:p>
      <w:pPr>
        <w:spacing w:lineRule="exact" w:line="540" w:before="0" w:after="0"/>
        <w:ind w:firstLineChars="200" w:firstLine="280"/>
        <w:jc w:val="both"/>
      </w:pPr>
      <w:r>
        <w:rPr>
          <w:rFonts w:ascii="宋体" w:hAnsi="宋体" w:eastAsia="宋体" w:cs="宋体" w:hint="eastAsia"/>
          <w:b w:val="0"/>
          <w:i w:val="0"/>
          <w:sz w:val="28"/>
        </w:rPr>
        <w:t>（6）附图-06 爆炸危险区域划分图。</w:t>
      </w:r>
    </w:p>
    <w:p>
      <w:pPr>
        <w:spacing w:lineRule="exact" w:line="540" w:before="0" w:after="0"/>
        <w:ind w:firstLineChars="200" w:firstLine="280"/>
        <w:jc w:val="both"/>
      </w:pPr>
      <w:r>
        <w:rPr>
          <w:rFonts w:ascii="宋体" w:hAnsi="宋体" w:eastAsia="宋体" w:cs="宋体" w:hint="eastAsia"/>
          <w:b w:val="0"/>
          <w:i w:val="0"/>
          <w:sz w:val="28"/>
        </w:rPr>
        <w:t>附图-01 依据建设单位提供的工艺流程描述绘制，工序名称与先后顺序原文照录，未标注工艺参数；附图-02 依据建设单位提供的建构筑物表与场地尺寸生成布置方案，图中防火间距已按 GB 50016 逐项校核并列表给出；附图-03 按建设单位提供的柱网（柱距、跨度、跨数）与设备清单绘制，设备定位为方案布置，设备外形按类别示意外廓，型号与基础尺寸以设备厂家资料为准。</w:t>
      </w:r>
    </w:p>
    <w:p>
      <w:pPr>
        <w:spacing w:lineRule="exact" w:line="540" w:before="0" w:after="0"/>
        <w:ind w:firstLineChars="200" w:firstLine="280"/>
        <w:jc w:val="both"/>
      </w:pPr>
      <w:r>
        <w:rPr>
          <w:rFonts w:ascii="宋体" w:hAnsi="宋体" w:eastAsia="宋体" w:cs="宋体" w:hint="eastAsia"/>
          <w:b w:val="0"/>
          <w:i w:val="0"/>
          <w:sz w:val="28"/>
        </w:rPr>
        <w:t>下列附图需在取得厂区坐标、周边环境实测资料后，由具备相应资质的设计单位套绘：项目区域位置图、周边环境示意图。</w:t>
      </w:r>
    </w:p>
    <w:p>
      <w:pPr>
        <w:spacing w:lineRule="exact" w:line="540" w:before="0" w:after="0"/>
        <w:ind w:firstLineChars="200" w:firstLine="280"/>
        <w:jc w:val="both"/>
      </w:pPr>
      <w:r>
        <w:rPr>
          <w:rFonts w:ascii="宋体" w:hAnsi="宋体" w:eastAsia="宋体" w:cs="宋体" w:hint="eastAsia"/>
          <w:b w:val="0"/>
          <w:i w:val="0"/>
          <w:sz w:val="28"/>
        </w:rPr>
        <w:t>随附 DXF 的图框、图签、设计单位名称与资质、人员签字及出图章由设计单位套用；图纸坐标为模型空间实际尺寸（单位：m），套框时按图幅建立视口（设备布置图按 1:100，总平面图建议 1:1000，具体由设计单位核定）。附图清单见表 15-3-1。</w:t>
      </w:r>
    </w:p>
    <w:p>
      <w:pPr>
        <w:keepNext/>
        <w:spacing w:before="0" w:after="0" w:lineRule="exact" w:line="540"/>
        <w:ind w:firstLine="0"/>
        <w:jc w:val="center"/>
      </w:pPr>
      <w:r>
        <w:rPr>
          <w:rFonts w:ascii="宋体" w:hAnsi="宋体" w:eastAsia="宋体" w:cs="宋体" w:hint="eastAsia"/>
          <w:b w:val="0"/>
          <w:i w:val="0"/>
          <w:sz w:val="28"/>
        </w:rPr>
        <w:t>表15-3-1 附图清单</w:t>
      </w:r>
    </w:p>
    <w:tbl>
      <w:tblPr>
        <w:tblW w:w="9213" w:type="dxa"/>
        <w:jc w:val="center"/>
        <w:tblInd w:w="0" w:type="dxa"/>
        <w:tblLayout w:type="fixed"/>
        <w:tblCellMar>
          <w:top w:w="0" w:type="dxa"/>
          <w:left w:w="108" w:type="dxa"/>
          <w:bottom w:w="0" w:type="dxa"/>
          <w:right w:w="108" w:type="dxa"/>
        </w:tblCellMar>
      </w:tblPr>
      <w:tblGrid>
        <w:gridCol w:w="731"/>
        <w:gridCol w:w="2574"/>
        <w:gridCol w:w="1404"/>
        <w:gridCol w:w="1638"/>
        <w:gridCol w:w="2866"/>
      </w:tblGrid>
      <w:tr>
        <w:trPr>
          <w:tblHeader w:val="true"/>
          <w:cantSplit w:val="true"/>
          <w:trHeight w:val="482" w:hRule="atLeast"/>
        </w:trPr>
        <w:tc>
          <w:tcPr>
            <w:tcW w:type="dxa" w:w="731"/>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序号</w:t>
            </w:r>
          </w:p>
        </w:tc>
        <w:tc>
          <w:tcPr>
            <w:tcW w:type="dxa" w:w="257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图名</w:t>
            </w:r>
          </w:p>
        </w:tc>
        <w:tc>
          <w:tcPr>
            <w:tcW w:type="dxa" w:w="14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图号</w:t>
            </w:r>
          </w:p>
        </w:tc>
        <w:tc>
          <w:tcPr>
            <w:tcW w:type="dxa" w:w="163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比例</w:t>
            </w:r>
          </w:p>
        </w:tc>
        <w:tc>
          <w:tcPr>
            <w:tcW w:type="dxa" w:w="2866"/>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备注</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厂区总平面布置图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1:1000（出图时核定）</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含功能分区、道路、消防车道及防火间距校核，已随专篇交付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2</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工艺流程图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附图-01</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不按比例（示意）</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含主要工序与物料流向，不含工艺参数，已随专篇交付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主要生产车间设备布置图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附图-03</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1:100</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both"/>
            </w:pPr>
            <w:r>
              <w:rPr>
                <w:rFonts w:ascii="宋体" w:hAnsi="宋体" w:eastAsia="宋体" w:cs="宋体" w:hint="eastAsia"/>
                <w:b w:val="0"/>
                <w:i w:val="0"/>
                <w:sz w:val="21"/>
              </w:rPr>
              <w:t>含柱网、设备定位与安全间距，设备定位为方案布置，已随专篇交付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消防设施平面布置图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附图-04</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1:1000（出图时核定）</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含室外消火栓、灭火器设置点与消防车道，配置数量取自计算书，已随专篇交付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防雷接地平面布置图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附图-05</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1:1000（出图时核定）</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含接闪带、引下线、接地测试点，防雷类别取自计算书，已随专篇交付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爆炸危险区域划分图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附图-06</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1:500（出图时核定）</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含室内释放源区域与洞口外延，已随专篇交付；外延范围待释放源计算后复核</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7</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项目区域位置图</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需建设单位提供厂区坐标与区域底图，由设计单位套绘</w:t>
            </w: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8</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周边环境示意图</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需周边环境实测与敏感目标资料，由设计单位套绘</w:t>
            </w:r>
          </w:p>
        </w:tc>
      </w:tr>
    </w:tbl>
    <w:p>
      <w:r>
        <w:br w:type="page"/>
      </w:r>
    </w:p>
    <w:p>
      <w:pPr>
        <w:spacing w:lineRule="exact" w:line="540" w:before="0" w:after="0"/>
        <w:ind w:firstLine="0"/>
        <w:jc w:val="both"/>
      </w:pPr>
    </w:p>
    <w:p>
      <w:pPr>
        <w:spacing w:lineRule="exact" w:line="540" w:before="0" w:after="0"/>
        <w:ind w:firstLine="0"/>
        <w:jc w:val="both"/>
      </w:pPr>
    </w:p>
    <w:p>
      <w:pPr>
        <w:spacing w:lineRule="exact" w:line="600" w:before="0" w:after="0"/>
        <w:ind w:firstLineChars="200" w:firstLine="360"/>
        <w:jc w:val="center"/>
      </w:pPr>
      <w:r>
        <w:rPr>
          <w:rFonts w:ascii="宋体" w:hAnsi="宋体" w:eastAsia="宋体" w:cs="宋体" w:hint="eastAsia"/>
          <w:b/>
          <w:i w:val="0"/>
          <w:sz w:val="36"/>
          <w:color w:val="C00000"/>
        </w:rPr>
        <w:t>【待用户填：设计单位名称】</w:t>
      </w:r>
    </w:p>
    <w:p>
      <w:pPr>
        <w:spacing w:lineRule="exact" w:line="600" w:before="0" w:after="0"/>
        <w:ind w:firstLineChars="200" w:firstLine="360"/>
        <w:jc w:val="center"/>
      </w:pPr>
      <w:r>
        <w:rPr>
          <w:rFonts w:ascii="宋体" w:hAnsi="宋体" w:eastAsia="宋体" w:cs="宋体" w:hint="eastAsia"/>
          <w:b/>
          <w:i w:val="0"/>
          <w:sz w:val="36"/>
        </w:rPr>
        <w:t>二零二六年十月</w:t>
      </w:r>
    </w:p>
    <w:p>
      <w:pPr>
        <w:spacing w:lineRule="exact" w:line="540" w:before="0" w:after="0"/>
        <w:ind w:firstLine="0"/>
        <w:jc w:val="both"/>
      </w:pPr>
    </w:p>
    <w:p>
      <w:pPr>
        <w:spacing w:lineRule="exact" w:line="540" w:before="0" w:after="0"/>
        <w:ind w:firstLine="0"/>
        <w:jc w:val="both"/>
      </w:pPr>
    </w:p>
    <w:p>
      <w:pPr>
        <w:spacing w:lineRule="exact" w:line="540" w:before="0" w:after="0"/>
        <w:ind w:firstLine="0"/>
        <w:jc w:val="both"/>
      </w:pPr>
    </w:p>
    <w:p>
      <w:pPr>
        <w:spacing w:lineRule="exact" w:line="560" w:before="0" w:after="0"/>
        <w:ind w:firstLine="0"/>
        <w:jc w:val="center"/>
      </w:pPr>
      <w:r>
        <w:rPr>
          <w:rFonts w:ascii="宋体" w:hAnsi="宋体" w:eastAsia="宋体" w:cs="宋体" w:hint="eastAsia"/>
          <w:b/>
          <w:i w:val="0"/>
          <w:sz w:val="32"/>
        </w:rPr>
        <w:t>设计单位参加年产1000台工程机械配件项目</w:t>
      </w:r>
    </w:p>
    <w:p>
      <w:pPr>
        <w:spacing w:lineRule="exact" w:line="560" w:before="0" w:after="0"/>
        <w:ind w:firstLine="0"/>
        <w:jc w:val="center"/>
      </w:pPr>
      <w:r>
        <w:rPr>
          <w:rFonts w:ascii="宋体" w:hAnsi="宋体" w:eastAsia="宋体" w:cs="宋体" w:hint="eastAsia"/>
          <w:b/>
          <w:i w:val="0"/>
          <w:sz w:val="32"/>
        </w:rPr>
        <w:t>设计人员名单</w:t>
      </w:r>
    </w:p>
    <w:p>
      <w:pPr>
        <w:spacing w:lineRule="exact" w:line="540" w:before="0" w:after="0"/>
        <w:ind w:firstLine="0"/>
        <w:jc w:val="both"/>
      </w:pPr>
    </w:p>
    <w:tbl>
      <w:tblPr>
        <w:tblW w:w="9213" w:type="dxa"/>
        <w:jc w:val="center"/>
        <w:tblInd w:w="0" w:type="dxa"/>
        <w:tblLayout w:type="fixed"/>
        <w:tblCellMar>
          <w:top w:w="0" w:type="dxa"/>
          <w:left w:w="108" w:type="dxa"/>
          <w:bottom w:w="0" w:type="dxa"/>
          <w:right w:w="108" w:type="dxa"/>
        </w:tblCellMar>
      </w:tblPr>
      <w:tblGrid>
        <w:gridCol w:w="1479"/>
        <w:gridCol w:w="1308"/>
        <w:gridCol w:w="2673"/>
        <w:gridCol w:w="2104"/>
        <w:gridCol w:w="1649"/>
      </w:tblGrid>
      <w:tr>
        <w:trPr>
          <w:tblHeader w:val="true"/>
          <w:cantSplit w:val="true"/>
          <w:trHeight w:val="482" w:hRule="atLeast"/>
        </w:trPr>
        <w:tc>
          <w:tcPr>
            <w:tcW w:type="dxa" w:w="147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人员</w:t>
            </w:r>
          </w:p>
        </w:tc>
        <w:tc>
          <w:tcPr>
            <w:tcW w:type="dxa" w:w="1308"/>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姓名</w:t>
            </w:r>
          </w:p>
        </w:tc>
        <w:tc>
          <w:tcPr>
            <w:tcW w:type="dxa" w:w="2673"/>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专业</w:t>
            </w:r>
          </w:p>
        </w:tc>
        <w:tc>
          <w:tcPr>
            <w:tcW w:type="dxa" w:w="2104"/>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职称</w:t>
            </w:r>
          </w:p>
        </w:tc>
        <w:tc>
          <w:tcPr>
            <w:tcW w:type="dxa" w:w="1649"/>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
              <w:rPr>
                <w:rFonts w:ascii="宋体" w:hAnsi="宋体" w:eastAsia="宋体" w:cs="宋体" w:hint="eastAsia"/>
                <w:b w:val="0"/>
                <w:i w:val="0"/>
                <w:sz w:val="21"/>
              </w:rPr>
              <w:t>签字</w:t>
            </w: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Pr>
          <w:p>
            <w:pPr>
              <w:jc w:val="center"/>
            </w:pPr>
            <w:r/>
            <w:r>
              <w:rPr>
                <w:rFonts w:ascii="宋体" w:hAnsi="宋体" w:eastAsia="宋体" w:cs="宋体" w:hint="eastAsia"/>
                <w:b w:val="0"/>
                <w:i w:val="0"/>
                <w:sz w:val="21"/>
              </w:rPr>
              <w:t>编制人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总图</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安全</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工艺</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建筑</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建筑结构</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给排水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暖通</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电气</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val="restart"/>
            <w:tcBorders>
              <w:top w:val="single" w:sz="4" w:color="000000"/>
              <w:left w:val="single" w:sz="4" w:color="000000"/>
              <w:bottom w:val="single" w:sz="4" w:color="000000"/>
              <w:right w:val="single" w:sz="4" w:color="000000"/>
            </w:tcBorders>
          </w:tcPr>
          <w:p>
            <w:pPr>
              <w:jc w:val="center"/>
            </w:pPr>
            <w:r/>
            <w:r>
              <w:rPr>
                <w:rFonts w:ascii="宋体" w:hAnsi="宋体" w:eastAsia="宋体" w:cs="宋体" w:hint="eastAsia"/>
                <w:b w:val="0"/>
                <w:i w:val="0"/>
                <w:sz w:val="21"/>
              </w:rPr>
              <w:t>审核</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总图</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r>
        <w:trPr>
          <w:trHeight w:val="482" w:hRule="atLeast"/>
          <w:cantSplit w:val="true"/>
        </w:trPr>
        <w:tc>
          <w:tcPr>
            <w:tcW w:type="dxa" w:w="1837"/>
            <w:vAlign w:val="center"/>
            <w:vMerge/>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电气</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keepNext/>
              <w:spacing w:lineRule="exact" w:line="360" w:before="0" w:after="0"/>
              <w:ind w:firstLine="0"/>
              <w:jc w:val="center"/>
            </w:pPr>
          </w:p>
        </w:tc>
      </w:tr>
      <w:tr>
        <w:trPr>
          <w:trHeight w:val="482" w:hRule="atLeast"/>
          <w:cantSplit w:val="true"/>
        </w:trPr>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r>
            <w:r>
              <w:rPr>
                <w:rFonts w:ascii="宋体" w:hAnsi="宋体" w:eastAsia="宋体" w:cs="宋体" w:hint="eastAsia"/>
                <w:b w:val="0"/>
                <w:i w:val="0"/>
                <w:sz w:val="21"/>
              </w:rPr>
              <w:t>校对</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给排水</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r>
              <w:rPr>
                <w:rFonts w:ascii="宋体" w:hAnsi="宋体" w:eastAsia="宋体" w:cs="宋体" w:hint="eastAsia"/>
                <w:b w:val="0"/>
                <w:i w:val="0"/>
                <w:sz w:val="21"/>
              </w:rPr>
              <w:t>待填</w:t>
            </w:r>
          </w:p>
        </w:tc>
        <w:tc>
          <w:tcPr>
            <w:tcW w:type="dxa" w:w="1837"/>
            <w:vAlign w:val="center"/>
            <w:tcBorders>
              <w:top w:val="single" w:sz="4" w:color="000000"/>
              <w:left w:val="single" w:sz="4" w:color="000000"/>
              <w:bottom w:val="single" w:sz="4" w:color="000000"/>
              <w:right w:val="single" w:sz="4" w:color="000000"/>
            </w:tcBorders>
          </w:tcPr>
          <w:p>
            <w:pPr>
              <w:spacing w:lineRule="exact" w:line="360" w:before="0" w:after="0"/>
              <w:ind w:firstLine="0"/>
              <w:jc w:val="center"/>
            </w:pPr>
          </w:p>
        </w:tc>
      </w:tr>
    </w:tbl>
    <w:p>
      <w:pPr>
        <w:spacing w:lineRule="exact" w:line="540" w:before="0" w:after="0"/>
        <w:ind w:firstLine="0"/>
        <w:jc w:val="both"/>
      </w:pPr>
      <w:r>
        <w:rPr>
          <w:rFonts w:ascii="宋体" w:hAnsi="宋体" w:eastAsia="宋体" w:cs="宋体" w:hint="eastAsia"/>
          <w:b w:val="0"/>
          <w:i w:val="0"/>
          <w:sz w:val="21"/>
        </w:rPr>
        <w:t>注：设计单位资质证书、项目负责人及设计人员执业资格证书由设计单位在送审时提供。</w:t>
      </w:r>
    </w:p>
    <w:sectPr w:rsidR="00FC693F" w:rsidRPr="0006063C" w:rsidSect="00034616">
      <w:headerReference w:type="default" r:id="rId9"/>
      <w:footerReference w:type="default" r:id="rId10"/>
      <w:pgSz w:w="11906" w:h="16838"/>
      <w:pgMar w:top="1134" w:right="1247" w:bottom="1134" w:left="1474" w:header="850" w:footer="850" w:gutter="0"/>
      <w:cols w:space="720"/>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宋体" w:hAnsi="宋体" w:eastAsia="宋体" w:cs="宋体" w:hint="eastAsia"/>
        <w:b w:val="0"/>
        <w:i w:val="0"/>
        <w:sz w:val="18"/>
      </w:rPr>
      <w:fldChar w:fldCharType="begin"/>
      <w:instrText xml:space="preserve"> PAGE </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8731" w:val="right"/>
      </w:tabs>
      <w:jc w:val="left"/>
      <w:pBdr>
        <w:bottom w:val="single" w:sz="6" w:color="808080"/>
      </w:pBdr>
    </w:pPr>
    <w:r>
      <w:rPr>
        <w:rFonts w:ascii="宋体" w:hAnsi="宋体" w:eastAsia="宋体" w:cs="宋体" w:hint="eastAsia"/>
        <w:b w:val="0"/>
        <w:i w:val="0"/>
        <w:sz w:val="18"/>
      </w:rPr>
      <w:t>泰安测试机械有限公司年产1000台工程机械配件项目</w:t>
      <w:tab/>
      <w:t>安全设施设计</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