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before="1572" w:after="0"/>
        <w:jc w:val="center"/>
      </w:pPr>
      <w:r>
        <w:rPr>
          <w:rFonts w:ascii="Times New Roman" w:hAnsi="Times New Roman" w:eastAsia="宋体"/>
          <w:sz w:val="52"/>
          <w:b/>
        </w:rPr>
        <w:t>泰安示例新材料科技有限公司</w:t>
      </w:r>
    </w:p>
    <w:p>
      <w:pPr>
        <w:spacing w:line="240" w:lineRule="auto" w:before="440" w:after="0"/>
        <w:jc w:val="center"/>
      </w:pPr>
      <w:r>
        <w:rPr>
          <w:rFonts w:ascii="Times New Roman" w:hAnsi="Times New Roman" w:eastAsia="宋体"/>
          <w:sz w:val="72"/>
          <w:b/>
        </w:rPr>
        <w:t>环境风险评估报告</w:t>
      </w:r>
    </w:p>
    <w:p>
      <w:pPr>
        <w:spacing w:line="240" w:lineRule="auto" w:before="6470" w:after="0"/>
        <w:jc w:val="center"/>
      </w:pPr>
      <w:r>
        <w:rPr>
          <w:rFonts w:ascii="Times New Roman" w:hAnsi="Times New Roman" w:eastAsia="宋体"/>
          <w:sz w:val="36"/>
        </w:rPr>
        <w:t>风险等级为：重大</w:t>
      </w:r>
    </w:p>
    <w:p>
      <w:pPr>
        <w:spacing w:line="240" w:lineRule="auto" w:before="306" w:after="0"/>
        <w:jc w:val="center"/>
      </w:pPr>
      <w:r>
        <w:rPr>
          <w:rFonts w:ascii="Times New Roman" w:hAnsi="Times New Roman" w:eastAsia="宋体"/>
          <w:sz w:val="36"/>
        </w:rPr>
        <w:t>[重大-大气（Q2-M3-E2）+重大-水（Q2-M2-E1）]</w:t>
      </w:r>
    </w:p>
    <w:p>
      <w:pPr>
        <w:spacing w:line="30" w:lineRule="exact" w:before="0" w:after="0"/>
        <w:jc w:val="center"/>
      </w:pPr>
      <w:r>
        <w:rPr>
          <w:rFonts w:ascii="Times New Roman" w:hAnsi="Times New Roman" w:eastAsia="宋体"/>
          <w:sz w:val="24"/>
        </w:rPr>
      </w:r>
    </w:p>
    <w:p>
      <w:pPr>
        <w:spacing w:line="240" w:lineRule="auto" w:before="0" w:after="0"/>
        <w:jc w:val="center"/>
      </w:pPr>
      <w:r>
        <w:rPr>
          <w:rFonts w:ascii="Times New Roman" w:hAnsi="Times New Roman" w:eastAsia="宋体"/>
          <w:sz w:val="36"/>
          <w:b/>
        </w:rPr>
        <w:t>泰安示例新材料科技有限公司</w:t>
      </w:r>
    </w:p>
    <w:p>
      <w:pPr>
        <w:spacing w:line="240" w:lineRule="auto" w:before="0" w:after="0"/>
        <w:jc w:val="center"/>
      </w:pPr>
      <w:r>
        <w:rPr>
          <w:rFonts w:ascii="Times New Roman" w:hAnsi="Times New Roman" w:eastAsia="宋体"/>
          <w:sz w:val="36"/>
          <w:b/>
        </w:rPr>
        <w:t>编制日期：2026年10月</w:t>
      </w:r>
    </w:p>
    <w:p>
      <w:r>
        <w:br w:type="page"/>
      </w:r>
    </w:p>
    <w:p>
      <w:pPr>
        <w:spacing w:line="28" w:lineRule="exact" w:before="0" w:after="0"/>
        <w:jc w:val="left"/>
      </w:pPr>
      <w:r>
        <w:rPr>
          <w:rFonts w:ascii="Times New Roman" w:hAnsi="Times New Roman" w:eastAsia="宋体"/>
          <w:sz w:val="24"/>
        </w:rPr>
      </w:r>
    </w:p>
    <w:p>
      <w:pPr>
        <w:spacing w:line="500" w:lineRule="exact" w:before="0" w:after="0"/>
        <w:ind w:right="245"/>
        <w:jc w:val="right"/>
      </w:pPr>
      <w:r>
        <w:rPr>
          <w:rFonts w:ascii="Times New Roman" w:hAnsi="Times New Roman" w:eastAsia="宋体"/>
          <w:sz w:val="24"/>
        </w:rPr>
        <w:t>目 录</w:t>
      </w:r>
    </w:p>
    <w:p>
      <w:pPr>
        <w:pStyle w:val="TOC1"/>
        <w:spacing w:before="0" w:after="0"/>
        <w:jc w:val="left"/>
      </w:pPr>
      <w:hyperlink w:anchor="_Toc90001">
        <w:r>
          <w:t xml:space="preserve">1 前言</w:t>
        </w:r>
      </w:hyperlink>
      <w:r>
        <w:tab/>
      </w:r>
      <w:r>
        <w:fldChar w:fldCharType="begin"/>
      </w:r>
      <w:r>
        <w:instrText xml:space="preserve"> PAGEREF _Toc90001 \h </w:instrText>
      </w:r>
      <w:r>
        <w:fldChar w:fldCharType="separate"/>
      </w:r>
      <w:r>
        <w:t>1</w:t>
      </w:r>
      <w:r>
        <w:fldChar w:fldCharType="end"/>
      </w:r>
    </w:p>
    <w:p>
      <w:pPr>
        <w:pStyle w:val="TOC1"/>
        <w:spacing w:before="0" w:after="0"/>
        <w:jc w:val="left"/>
      </w:pPr>
      <w:hyperlink w:anchor="_Toc90002">
        <w:r>
          <w:t xml:space="preserve">2 总则</w:t>
        </w:r>
      </w:hyperlink>
      <w:r>
        <w:tab/>
      </w:r>
      <w:r>
        <w:fldChar w:fldCharType="begin"/>
      </w:r>
      <w:r>
        <w:instrText xml:space="preserve"> PAGEREF _Toc90002 \h </w:instrText>
      </w:r>
      <w:r>
        <w:fldChar w:fldCharType="separate"/>
      </w:r>
      <w:r>
        <w:t>1</w:t>
      </w:r>
      <w:r>
        <w:fldChar w:fldCharType="end"/>
      </w:r>
    </w:p>
    <w:p>
      <w:pPr>
        <w:pStyle w:val="TOC2"/>
        <w:spacing w:before="0" w:after="0"/>
        <w:jc w:val="left"/>
      </w:pPr>
      <w:hyperlink w:anchor="_Toc90003">
        <w:r>
          <w:t xml:space="preserve">2.1 编制原则</w:t>
        </w:r>
      </w:hyperlink>
      <w:r>
        <w:tab/>
      </w:r>
      <w:r>
        <w:fldChar w:fldCharType="begin"/>
      </w:r>
      <w:r>
        <w:instrText xml:space="preserve"> PAGEREF _Toc90003 \h </w:instrText>
      </w:r>
      <w:r>
        <w:fldChar w:fldCharType="separate"/>
      </w:r>
      <w:r>
        <w:t>1</w:t>
      </w:r>
      <w:r>
        <w:fldChar w:fldCharType="end"/>
      </w:r>
    </w:p>
    <w:p>
      <w:pPr>
        <w:pStyle w:val="TOC2"/>
        <w:spacing w:before="0" w:after="0"/>
        <w:jc w:val="left"/>
      </w:pPr>
      <w:hyperlink w:anchor="_Toc90004">
        <w:r>
          <w:t xml:space="preserve">2.2 编制依据</w:t>
        </w:r>
      </w:hyperlink>
      <w:r>
        <w:tab/>
      </w:r>
      <w:r>
        <w:fldChar w:fldCharType="begin"/>
      </w:r>
      <w:r>
        <w:instrText xml:space="preserve"> PAGEREF _Toc90004 \h </w:instrText>
      </w:r>
      <w:r>
        <w:fldChar w:fldCharType="separate"/>
      </w:r>
      <w:r>
        <w:t>1</w:t>
      </w:r>
      <w:r>
        <w:fldChar w:fldCharType="end"/>
      </w:r>
    </w:p>
    <w:p>
      <w:pPr>
        <w:pStyle w:val="TOC1"/>
        <w:spacing w:before="0" w:after="0"/>
        <w:jc w:val="left"/>
      </w:pPr>
      <w:hyperlink w:anchor="_Toc90005">
        <w:r>
          <w:t xml:space="preserve">3 资料准备与环境风险识别</w:t>
        </w:r>
      </w:hyperlink>
      <w:r>
        <w:tab/>
      </w:r>
      <w:r>
        <w:fldChar w:fldCharType="begin"/>
      </w:r>
      <w:r>
        <w:instrText xml:space="preserve"> PAGEREF _Toc90005 \h </w:instrText>
      </w:r>
      <w:r>
        <w:fldChar w:fldCharType="separate"/>
      </w:r>
      <w:r>
        <w:t>1</w:t>
      </w:r>
      <w:r>
        <w:fldChar w:fldCharType="end"/>
      </w:r>
    </w:p>
    <w:p>
      <w:pPr>
        <w:pStyle w:val="TOC2"/>
        <w:spacing w:before="0" w:after="0"/>
        <w:jc w:val="left"/>
      </w:pPr>
      <w:hyperlink w:anchor="_Toc90006">
        <w:r>
          <w:t xml:space="preserve">3.1 企业基本信息</w:t>
        </w:r>
      </w:hyperlink>
      <w:r>
        <w:tab/>
      </w:r>
      <w:r>
        <w:fldChar w:fldCharType="begin"/>
      </w:r>
      <w:r>
        <w:instrText xml:space="preserve"> PAGEREF _Toc90006 \h </w:instrText>
      </w:r>
      <w:r>
        <w:fldChar w:fldCharType="separate"/>
      </w:r>
      <w:r>
        <w:t>1</w:t>
      </w:r>
      <w:r>
        <w:fldChar w:fldCharType="end"/>
      </w:r>
    </w:p>
    <w:p>
      <w:pPr>
        <w:pStyle w:val="TOC2"/>
        <w:spacing w:before="0" w:after="0"/>
        <w:jc w:val="left"/>
      </w:pPr>
      <w:hyperlink w:anchor="_Toc90007">
        <w:r>
          <w:t xml:space="preserve">3.2 企业周边环境风险受体</w:t>
        </w:r>
      </w:hyperlink>
      <w:r>
        <w:tab/>
      </w:r>
      <w:r>
        <w:fldChar w:fldCharType="begin"/>
      </w:r>
      <w:r>
        <w:instrText xml:space="preserve"> PAGEREF _Toc90007 \h </w:instrText>
      </w:r>
      <w:r>
        <w:fldChar w:fldCharType="separate"/>
      </w:r>
      <w:r>
        <w:t>1</w:t>
      </w:r>
      <w:r>
        <w:fldChar w:fldCharType="end"/>
      </w:r>
    </w:p>
    <w:p>
      <w:pPr>
        <w:pStyle w:val="TOC2"/>
        <w:spacing w:before="0" w:after="0"/>
        <w:jc w:val="left"/>
      </w:pPr>
      <w:hyperlink w:anchor="_Toc90008">
        <w:r>
          <w:t xml:space="preserve">3.3 涉及环境风险物质情况</w:t>
        </w:r>
      </w:hyperlink>
      <w:r>
        <w:tab/>
      </w:r>
      <w:r>
        <w:fldChar w:fldCharType="begin"/>
      </w:r>
      <w:r>
        <w:instrText xml:space="preserve"> PAGEREF _Toc90008 \h </w:instrText>
      </w:r>
      <w:r>
        <w:fldChar w:fldCharType="separate"/>
      </w:r>
      <w:r>
        <w:t>1</w:t>
      </w:r>
      <w:r>
        <w:fldChar w:fldCharType="end"/>
      </w:r>
    </w:p>
    <w:p>
      <w:pPr>
        <w:pStyle w:val="TOC2"/>
        <w:spacing w:before="0" w:after="0"/>
        <w:jc w:val="left"/>
      </w:pPr>
      <w:hyperlink w:anchor="_Toc90009">
        <w:r>
          <w:t xml:space="preserve">3.4 项目生产运营情况简介</w:t>
        </w:r>
      </w:hyperlink>
      <w:r>
        <w:tab/>
      </w:r>
      <w:r>
        <w:fldChar w:fldCharType="begin"/>
      </w:r>
      <w:r>
        <w:instrText xml:space="preserve"> PAGEREF _Toc90009 \h </w:instrText>
      </w:r>
      <w:r>
        <w:fldChar w:fldCharType="separate"/>
      </w:r>
      <w:r>
        <w:t>1</w:t>
      </w:r>
      <w:r>
        <w:fldChar w:fldCharType="end"/>
      </w:r>
    </w:p>
    <w:p>
      <w:pPr>
        <w:pStyle w:val="TOC2"/>
        <w:spacing w:before="0" w:after="0"/>
        <w:jc w:val="left"/>
      </w:pPr>
      <w:hyperlink w:anchor="_Toc90010">
        <w:r>
          <w:t xml:space="preserve">3.5 安全生产与环境管理</w:t>
        </w:r>
      </w:hyperlink>
      <w:r>
        <w:tab/>
      </w:r>
      <w:r>
        <w:fldChar w:fldCharType="begin"/>
      </w:r>
      <w:r>
        <w:instrText xml:space="preserve"> PAGEREF _Toc90010 \h </w:instrText>
      </w:r>
      <w:r>
        <w:fldChar w:fldCharType="separate"/>
      </w:r>
      <w:r>
        <w:t>1</w:t>
      </w:r>
      <w:r>
        <w:fldChar w:fldCharType="end"/>
      </w:r>
    </w:p>
    <w:p>
      <w:pPr>
        <w:pStyle w:val="TOC2"/>
        <w:spacing w:before="0" w:after="0"/>
        <w:jc w:val="left"/>
      </w:pPr>
      <w:hyperlink w:anchor="_Toc90011">
        <w:r>
          <w:t xml:space="preserve">3.6 现有环境风险防控与应急措施情况</w:t>
        </w:r>
      </w:hyperlink>
      <w:r>
        <w:tab/>
      </w:r>
      <w:r>
        <w:fldChar w:fldCharType="begin"/>
      </w:r>
      <w:r>
        <w:instrText xml:space="preserve"> PAGEREF _Toc90011 \h </w:instrText>
      </w:r>
      <w:r>
        <w:fldChar w:fldCharType="separate"/>
      </w:r>
      <w:r>
        <w:t>1</w:t>
      </w:r>
      <w:r>
        <w:fldChar w:fldCharType="end"/>
      </w:r>
    </w:p>
    <w:p>
      <w:pPr>
        <w:pStyle w:val="TOC2"/>
        <w:spacing w:before="0" w:after="0"/>
        <w:jc w:val="left"/>
      </w:pPr>
      <w:hyperlink w:anchor="_Toc90012">
        <w:r>
          <w:t xml:space="preserve">3.7 现有应急物资与装备、救援队伍情况</w:t>
        </w:r>
      </w:hyperlink>
      <w:r>
        <w:tab/>
      </w:r>
      <w:r>
        <w:fldChar w:fldCharType="begin"/>
      </w:r>
      <w:r>
        <w:instrText xml:space="preserve"> PAGEREF _Toc90012 \h </w:instrText>
      </w:r>
      <w:r>
        <w:fldChar w:fldCharType="separate"/>
      </w:r>
      <w:r>
        <w:t>1</w:t>
      </w:r>
      <w:r>
        <w:fldChar w:fldCharType="end"/>
      </w:r>
    </w:p>
    <w:p>
      <w:pPr>
        <w:pStyle w:val="TOC1"/>
        <w:spacing w:before="0" w:after="0"/>
        <w:jc w:val="left"/>
      </w:pPr>
      <w:hyperlink w:anchor="_Toc90013">
        <w:r>
          <w:t xml:space="preserve">4 突发环境事件情景构建</w:t>
        </w:r>
      </w:hyperlink>
      <w:r>
        <w:tab/>
      </w:r>
      <w:r>
        <w:fldChar w:fldCharType="begin"/>
      </w:r>
      <w:r>
        <w:instrText xml:space="preserve"> PAGEREF _Toc90013 \h </w:instrText>
      </w:r>
      <w:r>
        <w:fldChar w:fldCharType="separate"/>
      </w:r>
      <w:r>
        <w:t>1</w:t>
      </w:r>
      <w:r>
        <w:fldChar w:fldCharType="end"/>
      </w:r>
    </w:p>
    <w:p>
      <w:pPr>
        <w:pStyle w:val="TOC2"/>
        <w:spacing w:before="0" w:after="0"/>
        <w:jc w:val="left"/>
      </w:pPr>
      <w:hyperlink w:anchor="_Toc90014">
        <w:r>
          <w:t xml:space="preserve">4.1 同类行业突发环境事件情景分析</w:t>
        </w:r>
      </w:hyperlink>
      <w:r>
        <w:tab/>
      </w:r>
      <w:r>
        <w:fldChar w:fldCharType="begin"/>
      </w:r>
      <w:r>
        <w:instrText xml:space="preserve"> PAGEREF _Toc90014 \h </w:instrText>
      </w:r>
      <w:r>
        <w:fldChar w:fldCharType="separate"/>
      </w:r>
      <w:r>
        <w:t>1</w:t>
      </w:r>
      <w:r>
        <w:fldChar w:fldCharType="end"/>
      </w:r>
    </w:p>
    <w:p>
      <w:pPr>
        <w:pStyle w:val="TOC2"/>
        <w:spacing w:before="0" w:after="0"/>
        <w:jc w:val="left"/>
      </w:pPr>
      <w:hyperlink w:anchor="_Toc90015">
        <w:r>
          <w:t xml:space="preserve">4.2 突发环境事件情景分析</w:t>
        </w:r>
      </w:hyperlink>
      <w:r>
        <w:tab/>
      </w:r>
      <w:r>
        <w:fldChar w:fldCharType="begin"/>
      </w:r>
      <w:r>
        <w:instrText xml:space="preserve"> PAGEREF _Toc90015 \h </w:instrText>
      </w:r>
      <w:r>
        <w:fldChar w:fldCharType="separate"/>
      </w:r>
      <w:r>
        <w:t>1</w:t>
      </w:r>
      <w:r>
        <w:fldChar w:fldCharType="end"/>
      </w:r>
    </w:p>
    <w:p>
      <w:pPr>
        <w:pStyle w:val="TOC2"/>
        <w:spacing w:before="0" w:after="0"/>
        <w:jc w:val="left"/>
      </w:pPr>
      <w:hyperlink w:anchor="_Toc90016">
        <w:r>
          <w:t xml:space="preserve">4.3 事故危险性及原因分析</w:t>
        </w:r>
      </w:hyperlink>
      <w:r>
        <w:tab/>
      </w:r>
      <w:r>
        <w:fldChar w:fldCharType="begin"/>
      </w:r>
      <w:r>
        <w:instrText xml:space="preserve"> PAGEREF _Toc90016 \h </w:instrText>
      </w:r>
      <w:r>
        <w:fldChar w:fldCharType="separate"/>
      </w:r>
      <w:r>
        <w:t>1</w:t>
      </w:r>
      <w:r>
        <w:fldChar w:fldCharType="end"/>
      </w:r>
    </w:p>
    <w:p>
      <w:pPr>
        <w:pStyle w:val="TOC2"/>
        <w:spacing w:before="0" w:after="0"/>
        <w:jc w:val="left"/>
      </w:pPr>
      <w:hyperlink w:anchor="_Toc90017">
        <w:r>
          <w:t xml:space="preserve">4.4 突发环境事件情景源强分析</w:t>
        </w:r>
      </w:hyperlink>
      <w:r>
        <w:tab/>
      </w:r>
      <w:r>
        <w:fldChar w:fldCharType="begin"/>
      </w:r>
      <w:r>
        <w:instrText xml:space="preserve"> PAGEREF _Toc90017 \h </w:instrText>
      </w:r>
      <w:r>
        <w:fldChar w:fldCharType="separate"/>
      </w:r>
      <w:r>
        <w:t>1</w:t>
      </w:r>
      <w:r>
        <w:fldChar w:fldCharType="end"/>
      </w:r>
    </w:p>
    <w:p>
      <w:pPr>
        <w:pStyle w:val="TOC2"/>
        <w:spacing w:before="0" w:after="0"/>
        <w:jc w:val="left"/>
      </w:pPr>
      <w:hyperlink w:anchor="_Toc90018">
        <w:r>
          <w:t xml:space="preserve">4.4.1 泄漏源强计算</w:t>
        </w:r>
      </w:hyperlink>
      <w:r>
        <w:tab/>
      </w:r>
      <w:r>
        <w:fldChar w:fldCharType="begin"/>
      </w:r>
      <w:r>
        <w:instrText xml:space="preserve"> PAGEREF _Toc90018 \h </w:instrText>
      </w:r>
      <w:r>
        <w:fldChar w:fldCharType="separate"/>
      </w:r>
      <w:r>
        <w:t>1</w:t>
      </w:r>
      <w:r>
        <w:fldChar w:fldCharType="end"/>
      </w:r>
    </w:p>
    <w:p>
      <w:pPr>
        <w:pStyle w:val="TOC2"/>
        <w:spacing w:before="0" w:after="0"/>
        <w:jc w:val="left"/>
      </w:pPr>
      <w:hyperlink w:anchor="_Toc90019">
        <w:r>
          <w:t xml:space="preserve">4.4.2 蒸发（气化）源强计算</w:t>
        </w:r>
      </w:hyperlink>
      <w:r>
        <w:tab/>
      </w:r>
      <w:r>
        <w:fldChar w:fldCharType="begin"/>
      </w:r>
      <w:r>
        <w:instrText xml:space="preserve"> PAGEREF _Toc90019 \h </w:instrText>
      </w:r>
      <w:r>
        <w:fldChar w:fldCharType="separate"/>
      </w:r>
      <w:r>
        <w:t>1</w:t>
      </w:r>
      <w:r>
        <w:fldChar w:fldCharType="end"/>
      </w:r>
    </w:p>
    <w:p>
      <w:pPr>
        <w:pStyle w:val="TOC2"/>
        <w:spacing w:before="0" w:after="0"/>
        <w:jc w:val="left"/>
      </w:pPr>
      <w:hyperlink w:anchor="_Toc90020">
        <w:r>
          <w:t xml:space="preserve">4.4.3 有毒有害气体扩散影响预测</w:t>
        </w:r>
      </w:hyperlink>
      <w:r>
        <w:tab/>
      </w:r>
      <w:r>
        <w:fldChar w:fldCharType="begin"/>
      </w:r>
      <w:r>
        <w:instrText xml:space="preserve"> PAGEREF _Toc90020 \h </w:instrText>
      </w:r>
      <w:r>
        <w:fldChar w:fldCharType="separate"/>
      </w:r>
      <w:r>
        <w:t>1</w:t>
      </w:r>
      <w:r>
        <w:fldChar w:fldCharType="end"/>
      </w:r>
    </w:p>
    <w:p>
      <w:pPr>
        <w:pStyle w:val="TOC2"/>
        <w:spacing w:before="0" w:after="0"/>
        <w:jc w:val="left"/>
      </w:pPr>
      <w:hyperlink w:anchor="_Toc90021">
        <w:r>
          <w:t xml:space="preserve">4.4.4 火灾热辐射影响预测</w:t>
        </w:r>
      </w:hyperlink>
      <w:r>
        <w:tab/>
      </w:r>
      <w:r>
        <w:fldChar w:fldCharType="begin"/>
      </w:r>
      <w:r>
        <w:instrText xml:space="preserve"> PAGEREF _Toc90021 \h </w:instrText>
      </w:r>
      <w:r>
        <w:fldChar w:fldCharType="separate"/>
      </w:r>
      <w:r>
        <w:t>1</w:t>
      </w:r>
      <w:r>
        <w:fldChar w:fldCharType="end"/>
      </w:r>
    </w:p>
    <w:p>
      <w:pPr>
        <w:pStyle w:val="TOC2"/>
        <w:spacing w:before="0" w:after="0"/>
        <w:jc w:val="left"/>
      </w:pPr>
      <w:hyperlink w:anchor="_Toc90022">
        <w:r>
          <w:t xml:space="preserve">4.4.5 蒸气云爆炸影响预测</w:t>
        </w:r>
      </w:hyperlink>
      <w:r>
        <w:tab/>
      </w:r>
      <w:r>
        <w:fldChar w:fldCharType="begin"/>
      </w:r>
      <w:r>
        <w:instrText xml:space="preserve"> PAGEREF _Toc90022 \h </w:instrText>
      </w:r>
      <w:r>
        <w:fldChar w:fldCharType="separate"/>
      </w:r>
      <w:r>
        <w:t>1</w:t>
      </w:r>
      <w:r>
        <w:fldChar w:fldCharType="end"/>
      </w:r>
    </w:p>
    <w:p>
      <w:pPr>
        <w:pStyle w:val="TOC2"/>
        <w:spacing w:before="0" w:after="0"/>
        <w:jc w:val="left"/>
      </w:pPr>
      <w:hyperlink w:anchor="_Toc90023">
        <w:r>
          <w:t xml:space="preserve">4.4.6 事故废水量与应急事故池容积核算</w:t>
        </w:r>
      </w:hyperlink>
      <w:r>
        <w:tab/>
      </w:r>
      <w:r>
        <w:fldChar w:fldCharType="begin"/>
      </w:r>
      <w:r>
        <w:instrText xml:space="preserve"> PAGEREF _Toc90023 \h </w:instrText>
      </w:r>
      <w:r>
        <w:fldChar w:fldCharType="separate"/>
      </w:r>
      <w:r>
        <w:t>1</w:t>
      </w:r>
      <w:r>
        <w:fldChar w:fldCharType="end"/>
      </w:r>
    </w:p>
    <w:p>
      <w:pPr>
        <w:pStyle w:val="TOC2"/>
        <w:spacing w:before="0" w:after="0"/>
        <w:jc w:val="left"/>
      </w:pPr>
      <w:hyperlink w:anchor="_Toc90024">
        <w:r>
          <w:t xml:space="preserve">4.5 释放环境风险物质的扩散途径、涉及环境风险防控与应急措施、应急资源情况分析</w:t>
        </w:r>
      </w:hyperlink>
      <w:r>
        <w:tab/>
      </w:r>
      <w:r>
        <w:fldChar w:fldCharType="begin"/>
      </w:r>
      <w:r>
        <w:instrText xml:space="preserve"> PAGEREF _Toc90024 \h </w:instrText>
      </w:r>
      <w:r>
        <w:fldChar w:fldCharType="separate"/>
      </w:r>
      <w:r>
        <w:t>1</w:t>
      </w:r>
      <w:r>
        <w:fldChar w:fldCharType="end"/>
      </w:r>
    </w:p>
    <w:p>
      <w:pPr>
        <w:pStyle w:val="TOC2"/>
        <w:spacing w:before="0" w:after="0"/>
        <w:jc w:val="left"/>
      </w:pPr>
      <w:hyperlink w:anchor="_Toc90025">
        <w:r>
          <w:t xml:space="preserve">4.6 突发环境事件危害后果分析</w:t>
        </w:r>
      </w:hyperlink>
      <w:r>
        <w:tab/>
      </w:r>
      <w:r>
        <w:fldChar w:fldCharType="begin"/>
      </w:r>
      <w:r>
        <w:instrText xml:space="preserve"> PAGEREF _Toc90025 \h </w:instrText>
      </w:r>
      <w:r>
        <w:fldChar w:fldCharType="separate"/>
      </w:r>
      <w:r>
        <w:t>1</w:t>
      </w:r>
      <w:r>
        <w:fldChar w:fldCharType="end"/>
      </w:r>
    </w:p>
    <w:p>
      <w:pPr>
        <w:pStyle w:val="TOC2"/>
        <w:spacing w:before="0" w:after="0"/>
        <w:jc w:val="left"/>
      </w:pPr>
      <w:hyperlink w:anchor="_Toc90026">
        <w:r>
          <w:t xml:space="preserve">4.6.7 主要危险物质特性数据一览表</w:t>
        </w:r>
      </w:hyperlink>
      <w:r>
        <w:tab/>
      </w:r>
      <w:r>
        <w:fldChar w:fldCharType="begin"/>
      </w:r>
      <w:r>
        <w:instrText xml:space="preserve"> PAGEREF _Toc90026 \h </w:instrText>
      </w:r>
      <w:r>
        <w:fldChar w:fldCharType="separate"/>
      </w:r>
      <w:r>
        <w:t>1</w:t>
      </w:r>
      <w:r>
        <w:fldChar w:fldCharType="end"/>
      </w:r>
    </w:p>
    <w:p>
      <w:pPr>
        <w:pStyle w:val="TOC1"/>
        <w:spacing w:before="0" w:after="0"/>
        <w:jc w:val="left"/>
      </w:pPr>
      <w:hyperlink w:anchor="_Toc90027">
        <w:r>
          <w:t xml:space="preserve">5 现有环境风险防控和应急措施差距分析</w:t>
        </w:r>
      </w:hyperlink>
      <w:r>
        <w:tab/>
      </w:r>
      <w:r>
        <w:fldChar w:fldCharType="begin"/>
      </w:r>
      <w:r>
        <w:instrText xml:space="preserve"> PAGEREF _Toc90027 \h </w:instrText>
      </w:r>
      <w:r>
        <w:fldChar w:fldCharType="separate"/>
      </w:r>
      <w:r>
        <w:t>1</w:t>
      </w:r>
      <w:r>
        <w:fldChar w:fldCharType="end"/>
      </w:r>
    </w:p>
    <w:p>
      <w:pPr>
        <w:pStyle w:val="TOC2"/>
        <w:spacing w:before="0" w:after="0"/>
        <w:jc w:val="left"/>
      </w:pPr>
      <w:hyperlink w:anchor="_Toc90028">
        <w:r>
          <w:t xml:space="preserve">5.1 环境风险管理制度</w:t>
        </w:r>
      </w:hyperlink>
      <w:r>
        <w:tab/>
      </w:r>
      <w:r>
        <w:fldChar w:fldCharType="begin"/>
      </w:r>
      <w:r>
        <w:instrText xml:space="preserve"> PAGEREF _Toc90028 \h </w:instrText>
      </w:r>
      <w:r>
        <w:fldChar w:fldCharType="separate"/>
      </w:r>
      <w:r>
        <w:t>1</w:t>
      </w:r>
      <w:r>
        <w:fldChar w:fldCharType="end"/>
      </w:r>
    </w:p>
    <w:p>
      <w:pPr>
        <w:pStyle w:val="TOC2"/>
        <w:spacing w:before="0" w:after="0"/>
        <w:jc w:val="left"/>
      </w:pPr>
      <w:hyperlink w:anchor="_Toc90029">
        <w:r>
          <w:t xml:space="preserve">5.2 环境风险防控措施差距分析及建议</w:t>
        </w:r>
      </w:hyperlink>
      <w:r>
        <w:tab/>
      </w:r>
      <w:r>
        <w:fldChar w:fldCharType="begin"/>
      </w:r>
      <w:r>
        <w:instrText xml:space="preserve"> PAGEREF _Toc90029 \h </w:instrText>
      </w:r>
      <w:r>
        <w:fldChar w:fldCharType="separate"/>
      </w:r>
      <w:r>
        <w:t>1</w:t>
      </w:r>
      <w:r>
        <w:fldChar w:fldCharType="end"/>
      </w:r>
    </w:p>
    <w:p>
      <w:pPr>
        <w:pStyle w:val="TOC2"/>
        <w:spacing w:before="0" w:after="0"/>
        <w:jc w:val="left"/>
      </w:pPr>
      <w:hyperlink w:anchor="_Toc90030">
        <w:r>
          <w:t xml:space="preserve">5.3 环境应急资源</w:t>
        </w:r>
      </w:hyperlink>
      <w:r>
        <w:tab/>
      </w:r>
      <w:r>
        <w:fldChar w:fldCharType="begin"/>
      </w:r>
      <w:r>
        <w:instrText xml:space="preserve"> PAGEREF _Toc90030 \h </w:instrText>
      </w:r>
      <w:r>
        <w:fldChar w:fldCharType="separate"/>
      </w:r>
      <w:r>
        <w:t>1</w:t>
      </w:r>
      <w:r>
        <w:fldChar w:fldCharType="end"/>
      </w:r>
    </w:p>
    <w:p>
      <w:pPr>
        <w:pStyle w:val="TOC2"/>
        <w:spacing w:before="0" w:after="0"/>
        <w:jc w:val="left"/>
      </w:pPr>
      <w:hyperlink w:anchor="_Toc90031">
        <w:r>
          <w:t xml:space="preserve">5.4 历史经验教训和总结</w:t>
        </w:r>
      </w:hyperlink>
      <w:r>
        <w:tab/>
      </w:r>
      <w:r>
        <w:fldChar w:fldCharType="begin"/>
      </w:r>
      <w:r>
        <w:instrText xml:space="preserve"> PAGEREF _Toc90031 \h </w:instrText>
      </w:r>
      <w:r>
        <w:fldChar w:fldCharType="separate"/>
      </w:r>
      <w:r>
        <w:t>1</w:t>
      </w:r>
      <w:r>
        <w:fldChar w:fldCharType="end"/>
      </w:r>
    </w:p>
    <w:p>
      <w:pPr>
        <w:pStyle w:val="TOC2"/>
        <w:spacing w:before="0" w:after="0"/>
        <w:jc w:val="left"/>
      </w:pPr>
      <w:hyperlink w:anchor="_Toc90032">
        <w:r>
          <w:t xml:space="preserve">5.5 需要整改的短期、中期和长期项目内容</w:t>
        </w:r>
      </w:hyperlink>
      <w:r>
        <w:tab/>
      </w:r>
      <w:r>
        <w:fldChar w:fldCharType="begin"/>
      </w:r>
      <w:r>
        <w:instrText xml:space="preserve"> PAGEREF _Toc90032 \h </w:instrText>
      </w:r>
      <w:r>
        <w:fldChar w:fldCharType="separate"/>
      </w:r>
      <w:r>
        <w:t>1</w:t>
      </w:r>
      <w:r>
        <w:fldChar w:fldCharType="end"/>
      </w:r>
    </w:p>
    <w:p>
      <w:pPr>
        <w:pStyle w:val="TOC1"/>
        <w:spacing w:before="0" w:after="0"/>
        <w:jc w:val="left"/>
      </w:pPr>
      <w:hyperlink w:anchor="_Toc90033">
        <w:r>
          <w:t xml:space="preserve">6 完善环境风险防控和应急措施的实施计划</w:t>
        </w:r>
      </w:hyperlink>
      <w:r>
        <w:tab/>
      </w:r>
      <w:r>
        <w:fldChar w:fldCharType="begin"/>
      </w:r>
      <w:r>
        <w:instrText xml:space="preserve"> PAGEREF _Toc90033 \h </w:instrText>
      </w:r>
      <w:r>
        <w:fldChar w:fldCharType="separate"/>
      </w:r>
      <w:r>
        <w:t>1</w:t>
      </w:r>
      <w:r>
        <w:fldChar w:fldCharType="end"/>
      </w:r>
    </w:p>
    <w:p>
      <w:pPr>
        <w:pStyle w:val="TOC1"/>
        <w:spacing w:before="0" w:after="0"/>
        <w:jc w:val="left"/>
      </w:pPr>
      <w:hyperlink w:anchor="_Toc90034">
        <w:r>
          <w:t xml:space="preserve">7 企业突发环境事件风险等级</w:t>
        </w:r>
      </w:hyperlink>
      <w:r>
        <w:tab/>
      </w:r>
      <w:r>
        <w:fldChar w:fldCharType="begin"/>
      </w:r>
      <w:r>
        <w:instrText xml:space="preserve"> PAGEREF _Toc90034 \h </w:instrText>
      </w:r>
      <w:r>
        <w:fldChar w:fldCharType="separate"/>
      </w:r>
      <w:r>
        <w:t>1</w:t>
      </w:r>
      <w:r>
        <w:fldChar w:fldCharType="end"/>
      </w:r>
    </w:p>
    <w:p>
      <w:pPr>
        <w:pStyle w:val="TOC2"/>
        <w:spacing w:before="0" w:after="0"/>
        <w:jc w:val="left"/>
      </w:pPr>
      <w:hyperlink w:anchor="_Toc90035">
        <w:r>
          <w:t xml:space="preserve">7.1 突发大气环境事件风险分级</w:t>
        </w:r>
      </w:hyperlink>
      <w:r>
        <w:tab/>
      </w:r>
      <w:r>
        <w:fldChar w:fldCharType="begin"/>
      </w:r>
      <w:r>
        <w:instrText xml:space="preserve"> PAGEREF _Toc90035 \h </w:instrText>
      </w:r>
      <w:r>
        <w:fldChar w:fldCharType="separate"/>
      </w:r>
      <w:r>
        <w:t>1</w:t>
      </w:r>
      <w:r>
        <w:fldChar w:fldCharType="end"/>
      </w:r>
    </w:p>
    <w:p>
      <w:pPr>
        <w:pStyle w:val="TOC2"/>
        <w:spacing w:before="0" w:after="0"/>
        <w:jc w:val="left"/>
      </w:pPr>
      <w:hyperlink w:anchor="_Toc90036">
        <w:r>
          <w:t xml:space="preserve">7.2 突发水环境事件风险分级</w:t>
        </w:r>
      </w:hyperlink>
      <w:r>
        <w:tab/>
      </w:r>
      <w:r>
        <w:fldChar w:fldCharType="begin"/>
      </w:r>
      <w:r>
        <w:instrText xml:space="preserve"> PAGEREF _Toc90036 \h </w:instrText>
      </w:r>
      <w:r>
        <w:fldChar w:fldCharType="separate"/>
      </w:r>
      <w:r>
        <w:t>1</w:t>
      </w:r>
      <w:r>
        <w:fldChar w:fldCharType="end"/>
      </w:r>
    </w:p>
    <w:p>
      <w:pPr>
        <w:pStyle w:val="TOC2"/>
        <w:spacing w:before="0" w:after="0"/>
        <w:jc w:val="left"/>
      </w:pPr>
      <w:hyperlink w:anchor="_Toc90037">
        <w:r>
          <w:t xml:space="preserve">7.3 企业突发环境事件风险等级确定与调整</w:t>
        </w:r>
      </w:hyperlink>
      <w:r>
        <w:tab/>
      </w:r>
      <w:r>
        <w:fldChar w:fldCharType="begin"/>
      </w:r>
      <w:r>
        <w:instrText xml:space="preserve"> PAGEREF _Toc90037 \h </w:instrText>
      </w:r>
      <w:r>
        <w:fldChar w:fldCharType="separate"/>
      </w:r>
      <w:r>
        <w:t>1</w:t>
      </w:r>
      <w:r>
        <w:fldChar w:fldCharType="end"/>
      </w:r>
    </w:p>
    <w:p>
      <w:pPr>
        <w:pStyle w:val="TOC1"/>
        <w:spacing w:before="0" w:after="0"/>
        <w:jc w:val="left"/>
      </w:pPr>
      <w:hyperlink w:anchor="_Toc90038">
        <w:r>
          <w:t xml:space="preserve">8 附件、附图</w:t>
        </w:r>
      </w:hyperlink>
      <w:r>
        <w:tab/>
      </w:r>
      <w:r>
        <w:fldChar w:fldCharType="begin"/>
      </w:r>
      <w:r>
        <w:instrText xml:space="preserve"> PAGEREF _Toc90038 \h </w:instrText>
      </w:r>
      <w:r>
        <w:fldChar w:fldCharType="separate"/>
      </w:r>
      <w:r>
        <w:t>1</w:t>
      </w:r>
      <w:r>
        <w:fldChar w:fldCharType="end"/>
      </w:r>
    </w:p>
    <w:p>
      <w:pPr>
        <w:sectPr>
          <w:headerReference w:type="default" r:id="rId9"/>
          <w:footerReference w:type="default" r:id="rId10"/>
          <w:type w:val="nextPage"/>
          <w:pgSz w:w="11906" w:h="16838"/>
          <w:pgMar w:top="1440" w:right="1701" w:bottom="1440" w:left="1701" w:header="851" w:footer="1042" w:gutter="0"/>
          <w:cols w:space="720"/>
          <w:docGrid w:type="lines" w:linePitch="312" w:charSpace="0"/>
        </w:sectPr>
      </w:pPr>
    </w:p>
    <w:p>
      <w:pPr>
        <w:pStyle w:val="Heading1"/>
        <w:spacing w:line="500" w:lineRule="exact" w:before="0" w:after="0"/>
        <w:jc w:val="left"/>
        <w:outlineLvl w:val="0"/>
      </w:pPr>
      <w:bookmarkStart w:id="90001" w:name="_Toc90001"/>
      <w:r>
        <w:rPr>
          <w:rFonts w:ascii="Times New Roman" w:hAnsi="Times New Roman" w:eastAsia="宋体"/>
          <w:sz w:val="30"/>
          <w:b/>
        </w:rPr>
        <w:t>1 前言</w:t>
      </w:r>
      <w:bookmarkEnd w:id="90001"/>
    </w:p>
    <w:p>
      <w:pPr>
        <w:spacing w:line="500" w:lineRule="exact" w:before="0" w:after="0"/>
        <w:ind w:firstLineChars="200"/>
        <w:jc w:val="left"/>
      </w:pPr>
      <w:r>
        <w:rPr>
          <w:rFonts w:ascii="Times New Roman" w:hAnsi="Times New Roman" w:eastAsia="宋体"/>
          <w:sz w:val="24"/>
        </w:rPr>
        <w:t>企业为了在应对各类事故、自然灾害时，采取紧急措施，避免或最大程度减少污染物或其他有毒有害物质进入厂界外大气、水体、土壤等环境介质，需要预先制定突发环境事件应急预案。依据《企业事业单位突发环境事件应急预案备案管理办法（试行）》（环发〔2015〕4号）第十条规定，企业编制环境应急预案应当在开展风险评估和应急资源调查的基础上进行。</w:t>
      </w:r>
    </w:p>
    <w:p>
      <w:pPr>
        <w:spacing w:line="500" w:lineRule="exact" w:before="0" w:after="0"/>
        <w:ind w:firstLineChars="200"/>
        <w:jc w:val="left"/>
      </w:pPr>
      <w:r>
        <w:rPr>
          <w:rFonts w:ascii="Times New Roman" w:hAnsi="Times New Roman" w:eastAsia="宋体"/>
          <w:sz w:val="24"/>
        </w:rPr>
        <w:t>根据各级生态环境部门要求，泰安示例新材料科技有限公司依据《企业突发环境事件风险评估指南（试行）》（环办〔2014〕34号）及《企业突发环境事件风险分级方法》（HJ 941-2018）编制了本环境风险评估报告。通过开展突发环境事件风险评估，掌握自身环境风险状况，明确环境风险防控措施，有效指导企业环境应急预案的编制工作。</w:t>
      </w:r>
    </w:p>
    <w:p>
      <w:pPr>
        <w:pStyle w:val="Heading1"/>
        <w:spacing w:line="500" w:lineRule="exact" w:before="0" w:after="0"/>
        <w:jc w:val="left"/>
        <w:outlineLvl w:val="0"/>
      </w:pPr>
      <w:bookmarkStart w:id="90002" w:name="_Toc90002"/>
      <w:r>
        <w:rPr>
          <w:rFonts w:ascii="Times New Roman" w:hAnsi="Times New Roman" w:eastAsia="宋体"/>
          <w:sz w:val="30"/>
          <w:b/>
        </w:rPr>
        <w:t>2 总则</w:t>
      </w:r>
      <w:bookmarkEnd w:id="90002"/>
    </w:p>
    <w:p>
      <w:pPr>
        <w:pStyle w:val="Heading2"/>
        <w:spacing w:line="500" w:lineRule="exact" w:before="0" w:after="0"/>
        <w:jc w:val="left"/>
        <w:outlineLvl w:val="1"/>
      </w:pPr>
      <w:bookmarkStart w:id="90003" w:name="_Toc90003"/>
      <w:r>
        <w:rPr>
          <w:rFonts w:ascii="Times New Roman" w:hAnsi="Times New Roman" w:eastAsia="宋体"/>
          <w:sz w:val="28"/>
          <w:b/>
        </w:rPr>
        <w:t>2.1 编制原则</w:t>
      </w:r>
      <w:bookmarkEnd w:id="90003"/>
    </w:p>
    <w:p>
      <w:pPr>
        <w:spacing w:line="500" w:lineRule="exact" w:before="0" w:after="0"/>
        <w:ind w:firstLineChars="200"/>
        <w:jc w:val="left"/>
      </w:pPr>
      <w:r>
        <w:rPr>
          <w:rFonts w:ascii="Times New Roman" w:hAnsi="Times New Roman" w:eastAsia="宋体"/>
          <w:sz w:val="24"/>
        </w:rPr>
        <w:t>本报告以企业生产运营过程和事故状态下产生的风险物质作为评估重点，以与环境风险事件有关的法律法规、标准规范为依据，编制全面、具体且具有代表性的风险评估报告。</w:t>
      </w:r>
    </w:p>
    <w:p>
      <w:pPr>
        <w:pStyle w:val="Heading2"/>
        <w:spacing w:line="500" w:lineRule="exact" w:before="0" w:after="0"/>
        <w:jc w:val="left"/>
        <w:outlineLvl w:val="1"/>
      </w:pPr>
      <w:bookmarkStart w:id="90004" w:name="_Toc90004"/>
      <w:r>
        <w:rPr>
          <w:rFonts w:ascii="Times New Roman" w:hAnsi="Times New Roman" w:eastAsia="宋体"/>
          <w:sz w:val="28"/>
          <w:b/>
        </w:rPr>
        <w:t>2.2 编制依据</w:t>
      </w:r>
      <w:bookmarkEnd w:id="90004"/>
    </w:p>
    <w:p>
      <w:pPr>
        <w:spacing w:line="500" w:lineRule="exact" w:before="0" w:after="0"/>
        <w:ind w:firstLineChars="200"/>
        <w:jc w:val="left"/>
      </w:pPr>
      <w:r>
        <w:rPr>
          <w:rFonts w:ascii="Times New Roman" w:hAnsi="Times New Roman" w:eastAsia="宋体"/>
          <w:sz w:val="24"/>
        </w:rPr>
        <w:t>（1）法律法规及规章</w:t>
      </w:r>
    </w:p>
    <w:p>
      <w:pPr>
        <w:spacing w:line="500" w:lineRule="exact" w:before="0" w:after="0"/>
        <w:ind w:firstLineChars="200"/>
        <w:jc w:val="left"/>
      </w:pPr>
      <w:r>
        <w:rPr>
          <w:rFonts w:ascii="Times New Roman" w:hAnsi="Times New Roman" w:eastAsia="宋体"/>
          <w:sz w:val="24"/>
        </w:rPr>
        <w:t>《中华人民共和国环境保护法》（中华人民共和国主席令第9号）</w:t>
      </w:r>
    </w:p>
    <w:p>
      <w:pPr>
        <w:spacing w:line="500" w:lineRule="exact" w:before="0" w:after="0"/>
        <w:ind w:firstLineChars="200"/>
        <w:jc w:val="left"/>
      </w:pPr>
      <w:r>
        <w:rPr>
          <w:rFonts w:ascii="Times New Roman" w:hAnsi="Times New Roman" w:eastAsia="宋体"/>
          <w:sz w:val="24"/>
        </w:rPr>
        <w:t>《中华人民共和国突发事件应对法》（中华人民共和国主席令第69号）</w:t>
      </w:r>
    </w:p>
    <w:p>
      <w:pPr>
        <w:spacing w:line="500" w:lineRule="exact" w:before="0" w:after="0"/>
        <w:ind w:firstLineChars="200"/>
        <w:jc w:val="left"/>
      </w:pPr>
      <w:r>
        <w:rPr>
          <w:rFonts w:ascii="Times New Roman" w:hAnsi="Times New Roman" w:eastAsia="宋体"/>
          <w:sz w:val="24"/>
        </w:rPr>
        <w:t>《中华人民共和国安全生产法》</w:t>
      </w:r>
    </w:p>
    <w:p>
      <w:pPr>
        <w:spacing w:line="500" w:lineRule="exact" w:before="0" w:after="0"/>
        <w:ind w:firstLineChars="200"/>
        <w:jc w:val="left"/>
      </w:pPr>
      <w:r>
        <w:rPr>
          <w:rFonts w:ascii="Times New Roman" w:hAnsi="Times New Roman" w:eastAsia="宋体"/>
          <w:sz w:val="24"/>
        </w:rPr>
        <w:t>《中华人民共和国水污染防治法》</w:t>
      </w:r>
    </w:p>
    <w:p>
      <w:pPr>
        <w:spacing w:line="500" w:lineRule="exact" w:before="0" w:after="0"/>
        <w:ind w:firstLineChars="200"/>
        <w:jc w:val="left"/>
      </w:pPr>
      <w:r>
        <w:rPr>
          <w:rFonts w:ascii="Times New Roman" w:hAnsi="Times New Roman" w:eastAsia="宋体"/>
          <w:sz w:val="24"/>
        </w:rPr>
        <w:t>《中华人民共和国大气污染防治法》</w:t>
      </w:r>
    </w:p>
    <w:p>
      <w:pPr>
        <w:spacing w:line="500" w:lineRule="exact" w:before="0" w:after="0"/>
        <w:ind w:firstLineChars="200"/>
        <w:jc w:val="left"/>
      </w:pPr>
      <w:r>
        <w:rPr>
          <w:rFonts w:ascii="Times New Roman" w:hAnsi="Times New Roman" w:eastAsia="宋体"/>
          <w:sz w:val="24"/>
        </w:rPr>
        <w:t>《中华人民共和国固体废物污染环境防治法》</w:t>
      </w:r>
    </w:p>
    <w:p>
      <w:pPr>
        <w:spacing w:line="500" w:lineRule="exact" w:before="0" w:after="0"/>
        <w:ind w:firstLineChars="200"/>
        <w:jc w:val="left"/>
      </w:pPr>
      <w:r>
        <w:rPr>
          <w:rFonts w:ascii="Times New Roman" w:hAnsi="Times New Roman" w:eastAsia="宋体"/>
          <w:sz w:val="24"/>
        </w:rPr>
        <w:t>《危险化学品安全管理条例》（国务院令第591号）</w:t>
      </w:r>
    </w:p>
    <w:p>
      <w:pPr>
        <w:spacing w:line="500" w:lineRule="exact" w:before="0" w:after="0"/>
        <w:ind w:firstLineChars="200"/>
        <w:jc w:val="left"/>
      </w:pPr>
      <w:r>
        <w:rPr>
          <w:rFonts w:ascii="Times New Roman" w:hAnsi="Times New Roman" w:eastAsia="宋体"/>
          <w:sz w:val="24"/>
        </w:rPr>
        <w:t>《突发环境事件应急管理办法》（环境保护部令第34号）</w:t>
      </w:r>
    </w:p>
    <w:p>
      <w:pPr>
        <w:spacing w:line="500" w:lineRule="exact" w:before="0" w:after="0"/>
        <w:ind w:firstLineChars="200"/>
        <w:jc w:val="left"/>
      </w:pPr>
      <w:r>
        <w:rPr>
          <w:rFonts w:ascii="Times New Roman" w:hAnsi="Times New Roman" w:eastAsia="宋体"/>
          <w:sz w:val="24"/>
        </w:rPr>
        <w:t>《突发环境事件信息报告办法》（环境保护部令第17号）</w:t>
      </w:r>
    </w:p>
    <w:p>
      <w:pPr>
        <w:spacing w:line="500" w:lineRule="exact" w:before="0" w:after="0"/>
        <w:ind w:firstLineChars="200"/>
        <w:jc w:val="left"/>
      </w:pPr>
      <w:r>
        <w:rPr>
          <w:rFonts w:ascii="Times New Roman" w:hAnsi="Times New Roman" w:eastAsia="宋体"/>
          <w:sz w:val="24"/>
        </w:rPr>
        <w:t>《企业事业单位突发环境事件应急预案备案管理办法（试行）》（环发〔2015〕4号）</w:t>
      </w:r>
    </w:p>
    <w:p>
      <w:pPr>
        <w:spacing w:line="500" w:lineRule="exact" w:before="0" w:after="0"/>
        <w:ind w:firstLineChars="200"/>
        <w:jc w:val="left"/>
      </w:pPr>
      <w:r>
        <w:rPr>
          <w:rFonts w:ascii="Times New Roman" w:hAnsi="Times New Roman" w:eastAsia="宋体"/>
          <w:sz w:val="24"/>
        </w:rPr>
        <w:t>《企业突发环境事件风险评估指南（试行）》（环办〔2014〕34号）</w:t>
      </w:r>
    </w:p>
    <w:p>
      <w:pPr>
        <w:spacing w:line="500" w:lineRule="exact" w:before="0" w:after="0"/>
        <w:ind w:firstLineChars="200"/>
        <w:jc w:val="left"/>
      </w:pPr>
      <w:r>
        <w:rPr>
          <w:rFonts w:ascii="Times New Roman" w:hAnsi="Times New Roman" w:eastAsia="宋体"/>
          <w:sz w:val="24"/>
        </w:rPr>
        <w:t>《企业事业单位突发环境事件应急预案评审工作指南（试行）》（环办应急〔2018〕8号）</w:t>
      </w:r>
    </w:p>
    <w:p>
      <w:pPr>
        <w:spacing w:line="500" w:lineRule="exact" w:before="0" w:after="0"/>
        <w:ind w:firstLineChars="200"/>
        <w:jc w:val="left"/>
      </w:pPr>
      <w:r>
        <w:rPr>
          <w:rFonts w:ascii="Times New Roman" w:hAnsi="Times New Roman" w:eastAsia="宋体"/>
          <w:sz w:val="24"/>
        </w:rPr>
        <w:t>《环境应急资源调查指南（试行）》（环办应急〔2019〕17号）</w:t>
      </w:r>
    </w:p>
    <w:p>
      <w:pPr>
        <w:spacing w:line="500" w:lineRule="exact" w:before="0" w:after="0"/>
        <w:ind w:firstLineChars="200"/>
        <w:jc w:val="left"/>
      </w:pPr>
      <w:r>
        <w:rPr>
          <w:rFonts w:ascii="Times New Roman" w:hAnsi="Times New Roman" w:eastAsia="宋体"/>
          <w:sz w:val="24"/>
        </w:rPr>
        <w:t>《国家危险废物名录》（2021年版）</w:t>
      </w:r>
    </w:p>
    <w:p>
      <w:pPr>
        <w:spacing w:line="500" w:lineRule="exact" w:before="0" w:after="0"/>
        <w:ind w:firstLineChars="200"/>
        <w:jc w:val="left"/>
      </w:pPr>
      <w:r>
        <w:rPr>
          <w:rFonts w:ascii="Times New Roman" w:hAnsi="Times New Roman" w:eastAsia="宋体"/>
          <w:sz w:val="24"/>
        </w:rPr>
        <w:t>（2）标准规范</w:t>
      </w:r>
    </w:p>
    <w:p>
      <w:pPr>
        <w:spacing w:line="500" w:lineRule="exact" w:before="0" w:after="0"/>
        <w:ind w:firstLineChars="200"/>
        <w:jc w:val="left"/>
      </w:pPr>
      <w:r>
        <w:rPr>
          <w:rFonts w:ascii="Times New Roman" w:hAnsi="Times New Roman" w:eastAsia="宋体"/>
          <w:sz w:val="24"/>
        </w:rPr>
        <w:t>《企业突发环境事件风险分级方法》（HJ 941-2018）</w:t>
      </w:r>
    </w:p>
    <w:p>
      <w:pPr>
        <w:spacing w:line="500" w:lineRule="exact" w:before="0" w:after="0"/>
        <w:ind w:firstLineChars="200"/>
        <w:jc w:val="left"/>
      </w:pPr>
      <w:r>
        <w:rPr>
          <w:rFonts w:ascii="Times New Roman" w:hAnsi="Times New Roman" w:eastAsia="宋体"/>
          <w:sz w:val="24"/>
        </w:rPr>
        <w:t>《建设项目环境风险评价技术导则》（HJ 169-2018）</w:t>
      </w:r>
    </w:p>
    <w:p>
      <w:pPr>
        <w:spacing w:line="500" w:lineRule="exact" w:before="0" w:after="0"/>
        <w:ind w:firstLineChars="200"/>
        <w:jc w:val="left"/>
      </w:pPr>
      <w:r>
        <w:rPr>
          <w:rFonts w:ascii="Times New Roman" w:hAnsi="Times New Roman" w:eastAsia="宋体"/>
          <w:sz w:val="24"/>
        </w:rPr>
        <w:t>《突发环境事件应急监测技术规范》（HJ 589-2021）</w:t>
      </w:r>
    </w:p>
    <w:p>
      <w:pPr>
        <w:spacing w:line="500" w:lineRule="exact" w:before="0" w:after="0"/>
        <w:ind w:firstLineChars="200"/>
        <w:jc w:val="left"/>
      </w:pPr>
      <w:r>
        <w:rPr>
          <w:rFonts w:ascii="Times New Roman" w:hAnsi="Times New Roman" w:eastAsia="宋体"/>
          <w:sz w:val="24"/>
        </w:rPr>
        <w:t>《环境空气质量标准》（GB 3095-2012）</w:t>
      </w:r>
    </w:p>
    <w:p>
      <w:pPr>
        <w:spacing w:line="500" w:lineRule="exact" w:before="0" w:after="0"/>
        <w:ind w:firstLineChars="200"/>
        <w:jc w:val="left"/>
      </w:pPr>
      <w:r>
        <w:rPr>
          <w:rFonts w:ascii="Times New Roman" w:hAnsi="Times New Roman" w:eastAsia="宋体"/>
          <w:sz w:val="24"/>
        </w:rPr>
        <w:t>《地表水环境质量标准》（GB 3838-2002）</w:t>
      </w:r>
    </w:p>
    <w:p>
      <w:pPr>
        <w:spacing w:line="500" w:lineRule="exact" w:before="0" w:after="0"/>
        <w:ind w:firstLineChars="200"/>
        <w:jc w:val="left"/>
      </w:pPr>
      <w:r>
        <w:rPr>
          <w:rFonts w:ascii="Times New Roman" w:hAnsi="Times New Roman" w:eastAsia="宋体"/>
          <w:sz w:val="24"/>
        </w:rPr>
        <w:t>《地下水质量标准》（GB/T 14848-2017）</w:t>
      </w:r>
    </w:p>
    <w:p>
      <w:pPr>
        <w:spacing w:line="500" w:lineRule="exact" w:before="0" w:after="0"/>
        <w:ind w:firstLineChars="200"/>
        <w:jc w:val="left"/>
      </w:pPr>
      <w:r>
        <w:rPr>
          <w:rFonts w:ascii="Times New Roman" w:hAnsi="Times New Roman" w:eastAsia="宋体"/>
          <w:sz w:val="24"/>
        </w:rPr>
        <w:t>《大气污染物综合排放标准》（GB 16297-1996）</w:t>
      </w:r>
    </w:p>
    <w:p>
      <w:pPr>
        <w:spacing w:line="500" w:lineRule="exact" w:before="0" w:after="0"/>
        <w:ind w:firstLineChars="200"/>
        <w:jc w:val="left"/>
      </w:pPr>
      <w:r>
        <w:rPr>
          <w:rFonts w:ascii="Times New Roman" w:hAnsi="Times New Roman" w:eastAsia="宋体"/>
          <w:sz w:val="24"/>
        </w:rPr>
        <w:t>《危险废物贮存污染控制标准》（GB 18597-2023）</w:t>
      </w:r>
    </w:p>
    <w:p>
      <w:pPr>
        <w:spacing w:line="500" w:lineRule="exact" w:before="0" w:after="0"/>
        <w:ind w:firstLineChars="200"/>
        <w:jc w:val="left"/>
      </w:pPr>
      <w:r>
        <w:rPr>
          <w:rFonts w:ascii="Times New Roman" w:hAnsi="Times New Roman" w:eastAsia="宋体"/>
          <w:sz w:val="24"/>
        </w:rPr>
        <w:t>《一般工业固体废物贮存和填埋污染控制标准》（GB 18599-2020）</w:t>
      </w:r>
    </w:p>
    <w:p>
      <w:pPr>
        <w:spacing w:line="500" w:lineRule="exact" w:before="0" w:after="0"/>
        <w:ind w:firstLineChars="200"/>
        <w:jc w:val="left"/>
      </w:pPr>
      <w:r>
        <w:rPr>
          <w:rFonts w:ascii="Times New Roman" w:hAnsi="Times New Roman" w:eastAsia="宋体"/>
          <w:sz w:val="24"/>
        </w:rPr>
        <w:t>《危险化学品重大危险源辨识》（GB 18218-2018）</w:t>
      </w:r>
    </w:p>
    <w:p>
      <w:pPr>
        <w:spacing w:line="500" w:lineRule="exact" w:before="0" w:after="0"/>
        <w:ind w:firstLineChars="200"/>
        <w:jc w:val="left"/>
      </w:pPr>
      <w:r>
        <w:rPr>
          <w:rFonts w:ascii="Times New Roman" w:hAnsi="Times New Roman" w:eastAsia="宋体"/>
          <w:sz w:val="24"/>
        </w:rPr>
        <w:t>（3）其他依据</w:t>
      </w:r>
    </w:p>
    <w:p>
      <w:pPr>
        <w:spacing w:line="500" w:lineRule="exact" w:before="0" w:after="0"/>
        <w:ind w:firstLineChars="200"/>
        <w:jc w:val="left"/>
      </w:pPr>
      <w:r>
        <w:rPr>
          <w:rFonts w:ascii="Times New Roman" w:hAnsi="Times New Roman" w:eastAsia="宋体"/>
          <w:sz w:val="24"/>
        </w:rPr>
        <w:t>企业环境影响评价文件及其批复、排污许可证、危险废物处置合同、环境应急资源调查报告等。</w:t>
      </w:r>
    </w:p>
    <w:p>
      <w:pPr>
        <w:pStyle w:val="Heading1"/>
        <w:spacing w:line="500" w:lineRule="exact" w:before="0" w:after="0"/>
        <w:jc w:val="left"/>
        <w:outlineLvl w:val="0"/>
      </w:pPr>
      <w:bookmarkStart w:id="90005" w:name="_Toc90005"/>
      <w:r>
        <w:rPr>
          <w:rFonts w:ascii="Times New Roman" w:hAnsi="Times New Roman" w:eastAsia="宋体"/>
          <w:sz w:val="30"/>
          <w:b/>
        </w:rPr>
        <w:t>3 资料准备与环境风险识别</w:t>
      </w:r>
      <w:bookmarkEnd w:id="90005"/>
    </w:p>
    <w:p>
      <w:pPr>
        <w:pStyle w:val="Heading2"/>
        <w:spacing w:line="500" w:lineRule="exact" w:before="0" w:after="0"/>
        <w:jc w:val="left"/>
        <w:outlineLvl w:val="1"/>
      </w:pPr>
      <w:bookmarkStart w:id="90006" w:name="_Toc90006"/>
      <w:r>
        <w:rPr>
          <w:rFonts w:ascii="Times New Roman" w:hAnsi="Times New Roman" w:eastAsia="宋体"/>
          <w:sz w:val="28"/>
          <w:b/>
        </w:rPr>
        <w:t>3.1 企业基本信息</w:t>
      </w:r>
      <w:bookmarkEnd w:id="90006"/>
    </w:p>
    <w:p>
      <w:pPr>
        <w:keepNext w:val="true"/>
        <w:spacing w:line="500" w:lineRule="exact" w:before="0" w:after="0"/>
        <w:jc w:val="center"/>
      </w:pPr>
      <w:r>
        <w:rPr>
          <w:rFonts w:ascii="宋体" w:hAnsi="宋体" w:eastAsia="宋体"/>
          <w:sz w:val="24"/>
          <w:b/>
        </w:rPr>
        <w:t>表3-1 企业基本情况表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2520"/>
        <w:gridCol w:w="5702"/>
      </w:tblGrid>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企业名称</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泰安示例新材料科技有限公司</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统一社会信用代码</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91370911MA3XXXXXXX</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法定代表人</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李某某</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单位所在地</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山东省泰安市岱岳区某工业园区兴业路18号</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中心经度、纬度</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117.04,36.02</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所属行业类别</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化学原料和化学制品制造业（C26）</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建厂年月</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2014年5月</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企业规模</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小型</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厂区面积</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15000平方米</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从业人数</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68</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主要联系方式</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0538-866XXXX</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备案编号</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370911-2026-035-H</w:t>
            </w:r>
          </w:p>
        </w:tc>
      </w:tr>
    </w:tbl>
    <w:p>
      <w:pPr>
        <w:pStyle w:val="Heading2"/>
        <w:spacing w:line="500" w:lineRule="exact" w:before="0" w:after="0"/>
        <w:jc w:val="left"/>
        <w:outlineLvl w:val="1"/>
      </w:pPr>
      <w:bookmarkStart w:id="90007" w:name="_Toc90007"/>
      <w:r>
        <w:rPr>
          <w:rFonts w:ascii="Times New Roman" w:hAnsi="Times New Roman" w:eastAsia="宋体"/>
          <w:sz w:val="28"/>
          <w:b/>
        </w:rPr>
        <w:t>3.2 企业周边环境风险受体</w:t>
      </w:r>
      <w:bookmarkEnd w:id="90007"/>
    </w:p>
    <w:p>
      <w:pPr>
        <w:spacing w:line="500" w:lineRule="exact" w:before="0" w:after="0"/>
        <w:ind w:firstLineChars="200"/>
        <w:jc w:val="left"/>
      </w:pPr>
      <w:r>
        <w:rPr>
          <w:rFonts w:ascii="Times New Roman" w:hAnsi="Times New Roman" w:eastAsia="宋体"/>
          <w:sz w:val="24"/>
        </w:rPr>
        <w:t>公司厂区周边环境风险受体情况如下：（1）某河，位于厂区西侧1.2公里处，为地表水体，下游10公里涉及基本农田保护区，同时为园区污水处理厂尾水受纳水体；（2）王家村，居民区，位于厂区东北方向，距离420米，约240户、约800人，为最近居民点；（3）园区管委会，行政办公场所，位于厂区南侧，距离900米，常驻约120人；（4）某镇集中供水水源井，饮用水源，位于厂区西侧，距离8000米，为地下水井群，位于某河下游10公里范围内。厂区周边学校、医院等环境风险受体情况为</w:t>
      </w:r>
      <w:r>
        <w:rPr>
          <w:rFonts w:ascii="Times New Roman" w:hAnsi="Times New Roman" w:eastAsia="宋体"/>
          <w:sz w:val="24"/>
          <w:color w:val="C00000"/>
        </w:rPr>
        <w:t>【待用户填：厂区周边学校、医院等环境风险受体名称、方位及距离】</w:t>
      </w:r>
      <w:r>
        <w:rPr>
          <w:rFonts w:ascii="Times New Roman" w:hAnsi="Times New Roman" w:eastAsia="宋体"/>
          <w:sz w:val="24"/>
        </w:rPr>
        <w:t>。根据HJ 941-2018及企业环境风险分级计算结果，大气环境风险受体敏感性E值为E2，水环境风险受体敏感性E值为E1，企业环境风险等级为重大级。</w:t>
      </w:r>
    </w:p>
    <w:p>
      <w:pPr>
        <w:keepNext w:val="true"/>
        <w:spacing w:line="500" w:lineRule="exact" w:before="0" w:after="0"/>
        <w:jc w:val="center"/>
      </w:pPr>
      <w:r>
        <w:rPr>
          <w:rFonts w:ascii="宋体" w:hAnsi="宋体" w:eastAsia="宋体"/>
          <w:sz w:val="24"/>
          <w:b/>
        </w:rPr>
        <w:t>表3-2 企业周边环境风险受体</w:t>
      </w:r>
    </w:p>
    <w:tbl>
      <w:tblPr>
        <w:tblStyle w:val="TableGrid"/>
        <w:tblLook w:firstColumn="1" w:firstRow="1" w:lastColumn="0" w:lastRow="0" w:noHBand="0" w:noVBand="1" w:val="04A0"/>
        <w:tblW w:w="8221" w:type="dxa"/>
        <w:jc w:val="center"/>
        <w:tblInd w:w="0" w:type="dxa"/>
        <w:tblLayout w:type="fixed"/>
        <w:tblCellMar>
          <w:top w:w="0" w:type="dxa"/>
          <w:start w:w="108" w:type="dxa"/>
          <w:bottom w:w="0" w:type="dxa"/>
          <w:end w:w="108" w:type="dxa"/>
        </w:tblCellMar>
      </w:tblPr>
      <w:tblGrid>
        <w:gridCol w:w="514"/>
        <w:gridCol w:w="1644"/>
        <w:gridCol w:w="1336"/>
        <w:gridCol w:w="874"/>
        <w:gridCol w:w="1028"/>
        <w:gridCol w:w="874"/>
        <w:gridCol w:w="1953"/>
      </w:tblGrid>
      <w:tr>
        <w:trPr>
          <w:cantSplit w:val="true"/>
          <w:trHeight w:val="320" w:hRule="atLeast"/>
          <w:tblHeader w:val="true"/>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名称</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类型</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相对方位</w:t>
            </w:r>
          </w:p>
        </w:tc>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最近距离（m）</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人口数（人）</w:t>
            </w:r>
          </w:p>
        </w:tc>
        <w:tc>
          <w:tcPr>
            <w:tcW w:w="195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备注</w:t>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某河（厂区西侧1.2公里）</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地表水体</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西</w:t>
            </w:r>
          </w:p>
        </w:tc>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1200</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95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下游10公里涉及基本农田保护区；园区污水处理厂尾水受纳水体</w:t>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王家村</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居民区</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东北</w:t>
            </w:r>
          </w:p>
        </w:tc>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420</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95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约240户、约800人</w:t>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园区管委会</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行政办公</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南</w:t>
            </w:r>
          </w:p>
        </w:tc>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900</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95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常驻约120人</w:t>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某镇集中供水水源井</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饮用水源</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西</w:t>
            </w:r>
          </w:p>
        </w:tc>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8000</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95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地下水井群，位于某河下游10公里范围内</w:t>
            </w:r>
          </w:p>
        </w:tc>
      </w:tr>
    </w:tbl>
    <w:p>
      <w:pPr>
        <w:pStyle w:val="Heading2"/>
        <w:spacing w:line="500" w:lineRule="exact" w:before="0" w:after="0"/>
        <w:jc w:val="left"/>
        <w:outlineLvl w:val="1"/>
      </w:pPr>
      <w:bookmarkStart w:id="90008" w:name="_Toc90008"/>
      <w:r>
        <w:rPr>
          <w:rFonts w:ascii="Times New Roman" w:hAnsi="Times New Roman" w:eastAsia="宋体"/>
          <w:sz w:val="28"/>
          <w:b/>
        </w:rPr>
        <w:t>3.3 涉及环境风险物质情况</w:t>
      </w:r>
      <w:bookmarkEnd w:id="90008"/>
    </w:p>
    <w:p>
      <w:pPr>
        <w:spacing w:line="500" w:lineRule="exact" w:before="0" w:after="0"/>
        <w:ind w:firstLineChars="200"/>
        <w:jc w:val="left"/>
      </w:pPr>
      <w:r>
        <w:rPr>
          <w:rFonts w:ascii="Times New Roman" w:hAnsi="Times New Roman" w:eastAsia="宋体"/>
          <w:sz w:val="24"/>
        </w:rPr>
        <w:t>公司环境风险单元主要包括储罐区、生产车间、危废暂存间、废水预处理设施及废气处理设施。储罐区涉及盐酸储罐（30立方米）、硫酸储罐（2×20立方米）、甲醇储罐（20立方米）及桶装二甲苯、乙酸乙酯、氨水、次氯酸钠等物料，收发料与装卸作业产生呼吸损耗，事故诱因包括储罐或管线腐蚀穿孔、装卸鹤管及发料泵密封失效、防雷防静电接地失效、误操作导致冒罐溢流；污染途径为泄漏物料挥发进入大气、经围堰漫流或雨水管网进入某河及地下水。生产车间涉及反应釜（3台）、蒸馏塔（2台）、冷凝器（4台）、离心机（2台）、干燥机（2台），事故诱因包括反应失控超温超压、冷凝器失效致不凝气异常排放、设备清洗与地面冲洗水未有效收集；污染途径为工艺废气经15米排气筒非正常排放、冲洗水经厂内预处理设施后排入园区污水处理厂。危废暂存间（80平方米）暂存废活性炭、废有机溶剂、废包装桶、废矿物油、精馏残渣，事故诱因包括包装容器破损、分类存放不规范、渗滤液收集不畅；污染途径为危废泄漏下渗污染土壤及地下水。废水预处理设施及事故应急池（200立方米）、初期雨水收集池（120立方米）、事故水总排口切换阀构成水污染防控单元，事故诱因包括切换阀失灵、池体渗漏、初期雨水未及时收集；污染途径为事故废水经雨水总排口进入某河。废气处理设施（活性炭吸附+UV光解）事故诱因包括活性炭饱和、UV灯管故障，污染途径为VOCs及酸性气体超标排放。</w:t>
      </w:r>
    </w:p>
    <w:p>
      <w:pPr>
        <w:spacing w:line="500" w:lineRule="exact" w:before="0" w:after="0"/>
        <w:ind w:firstLineChars="200"/>
        <w:jc w:val="left"/>
      </w:pPr>
      <w:r>
        <w:rPr>
          <w:rFonts w:ascii="Times New Roman" w:hAnsi="Times New Roman" w:eastAsia="宋体"/>
          <w:sz w:val="24"/>
        </w:rPr>
        <w:t>上述环境风险物质的主要理化性质及危险特性见下表；表中数据取自随货同行的化学品安全技术说明书（MSDS / SDS），未获取的项目记「无资料」，可向供货单位索取后据实补充。</w:t>
      </w:r>
    </w:p>
    <w:p>
      <w:pPr>
        <w:keepNext w:val="true"/>
        <w:spacing w:line="500" w:lineRule="exact" w:before="0" w:after="0"/>
        <w:jc w:val="center"/>
      </w:pPr>
      <w:r>
        <w:rPr>
          <w:rFonts w:ascii="宋体" w:hAnsi="宋体" w:eastAsia="宋体"/>
          <w:sz w:val="24"/>
          <w:b/>
        </w:rPr>
        <w:t>表3-3 盐酸 理化性质和危险特性一览表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850"/>
        <w:gridCol w:w="1106"/>
        <w:gridCol w:w="1474"/>
        <w:gridCol w:w="1106"/>
        <w:gridCol w:w="1446"/>
        <w:gridCol w:w="1162"/>
        <w:gridCol w:w="1077"/>
      </w:tblGrid>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标识</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中文名</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盐酸；氢氯酸</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英文名</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hydrochloric acid</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危险化学品序号</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81013</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HCl</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36.46</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危险类别</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1789</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3685" w:type="dxa"/>
            <w:gridSpan w:val="3"/>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7647-01-0</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理化性质</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无色或微黄色发烟液体、有刺鼻的酸味。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-114.8</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108.6</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30.66（21℃)</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1.26</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燃烧热（kJ·mol⁻¹）</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与水混溶，溶于碱液。</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燃烧爆炸危险性</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燃烧分解物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氯化氢。</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自燃温度（℃）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最大爆炸压力（MPa）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能与一些活性金属粉末发生反应，放出氢气。遇氰化物能产生剧毒的氰化氢气体。 与碱发生中合反应，并放出大量的热。具有较强的腐蚀性。</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灭火方法</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消防人员必须佩戴氧气呼吸器、穿全身防护服。用碱性物质如碳酸氢钠、碳酸钠、 消石灰等中和。也可用大量水扑救。</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禁忌物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碱类、胺类、碱金属、易燃或可燃物。</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燃烧产物</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氯化氢。</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聚合危害</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不聚合</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毒性及健康危害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急性毒性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中国 MAC 15 mg/m³</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健康危害</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接触其蒸气或烟雾，可引起急性中毒，出现眼结膜炎，鼻及口腔粘膜有烧灼感， 鼻衄，齿龈出血，气管炎等。误服可引起消化道灼伤、溃疡形成，有可能引起胃穿孔、腹膜 炎等。眼和皮肤接触可致灼伤。慢性影响：长期接触，引起慢性鼻炎、慢性支气管炎、牙齿 酸蚀症及皮肤损害。</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急救</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立即脱出被污染的衣着。用大量流动清水冲洗，至少 15 分钟。就医。眼睛接触：立即提起眼睑，用大量流动清水或生理盐水彻底冲洗至少 15 分钟。就医。吸入：迅速脱离现场至空气新鲜处，保持呼吸道通畅。如呼吸困难，给输氧。如呼吸停止， 立即进行人工呼吸。就医。食入：误服者用水漱口，给饮牛奶或蛋清。就医。</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防护</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密闭操作，注意通风。尽可能机械化、自动化。提供安全淋浴和洗眼设备。个人防护：可能接触其烟雾时，佩戴自吸过滤式防毒面具（全面罩）或空气呼吸器。紧急事 态抢救或撤离时，建议佩戴氧气呼吸器；穿橡胶耐酸碱服；戴橡胶耐酸碱手套。工作现场严 禁吸烟、进食和饮水。工作毕，淋浴更衣。单独存放被毒物污染的衣服，洗后备用。保持良 好的卫生习惯。</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泄漏处置</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bl>
    <w:p>
      <w:pPr>
        <w:keepNext w:val="true"/>
        <w:spacing w:line="500" w:lineRule="exact" w:before="0" w:after="0"/>
        <w:jc w:val="center"/>
      </w:pPr>
      <w:r>
        <w:rPr>
          <w:rFonts w:ascii="宋体" w:hAnsi="宋体" w:eastAsia="宋体"/>
          <w:sz w:val="24"/>
          <w:b/>
        </w:rPr>
        <w:t>表3-4 硫酸 理化性质和危险特性一览表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850"/>
        <w:gridCol w:w="1106"/>
        <w:gridCol w:w="1474"/>
        <w:gridCol w:w="1106"/>
        <w:gridCol w:w="1446"/>
        <w:gridCol w:w="1162"/>
        <w:gridCol w:w="1077"/>
      </w:tblGrid>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标识</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中文名</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英文名</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sulfuric acid</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危险化学品序号</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81007</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H2SO4</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98.08</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危险类别</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1830</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3685" w:type="dxa"/>
            <w:gridSpan w:val="3"/>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7664-93-9</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理化性质</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纯品为无色透明油状液体，无臭。</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10.5</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330</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1.83</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0.13（145.8℃)</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3.4</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燃烧热（kJ·mol⁻¹）</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与水混溶。</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燃烧爆炸危险性</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燃烧分解物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氧化硫。</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自燃温度（℃）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最大爆炸压力（MPa）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遇水大量放热，可发生沸溅。与易燃物（如苯）和可燃物（如糖、纤维素等）接 触会发生剧烈反应，甚至引起燃烧。遇电石、高氯酸盐、雷酸盐、硝酸盐、苦味酸盐、金属 粉末等猛烈反应，发生爆炸或燃烧。有强烈的腐蚀性和吸水性。</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灭火方法</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消防人员必须穿全身耐酸碱消防服。灭火剂：干粉、二氧化碳、砂土。避免水流 冲击物品，以免遇水会放出大量热量发生喷溅而灼伤皮肤。</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禁忌物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碱类、碱金属、水、强还原剂、易燃或可燃物。</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燃烧产物</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氧化硫。</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聚合危害</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不聚合</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毒性及健康危害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急性毒性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LC50 510 mg/m³（大鼠吸入）；LD50 2140 mg/kg（大鼠经口）；中国 MAC 2 mg/m³</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健康危害</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对皮肤、粘膜等组织有强烈的刺激和腐蚀作用。蒸气或雾可引起结膜炎、结膜水 肿、角膜混浊，以致失明；引起呼吸道刺激，重者发生呼吸困难和肺水肿；高浓度引起喉痉 挛或声门水肿而窒息死亡。口服后引起消化道灼伤以致溃疡形成；严重者可能有胃穿孔、腹 膜炎、肾损害、休克等。皮肤灼伤轻者出现红斑，重者形成溃疡，愈合癍痕收缩影响功能。 溅入眼内可造成灼伤，甚至角膜穿孔、全眼炎以至失明。慢性影响： 牙齿酸蚀症、慢性支气 管炎、肺气肿和肺硬化。</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急救</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立即脱出被污染的衣着。用大量流动清水冲洗，至少 15 分钟。就医。眼睛接触：立即提起眼睑，用大量流动清水或生理盐水彻底冲洗至少 15 分钟。就医。吸入：迅速脱离现场至空气新鲜处，保持呼吸道通畅。如呼吸困难，给输氧。如呼吸停止， 立即进行人工呼吸。就医。食入：误服者用水漱口，给饮牛奶或蛋清。就医。</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防护</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密闭操作，注意通风。尽可能机械化、自动化。提供安全淋浴和洗眼设备。个人防护：可能接触其烟雾时，佩戴自吸过滤式防毒面具（全面罩）或空气呼吸器。紧急事 态抢救或撤离时，建议佩戴氧气呼吸器；穿橡胶耐酸碱服；戴橡胶耐酸碱手套。工作现场严 禁吸烟、进食和饮水。工作毕，淋浴更衣。单独存放被毒物污染的衣服，洗后备用。保持良 好的卫生习惯。</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泄漏处置</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bl>
    <w:p>
      <w:pPr>
        <w:keepNext w:val="true"/>
        <w:spacing w:line="500" w:lineRule="exact" w:before="0" w:after="0"/>
        <w:jc w:val="center"/>
      </w:pPr>
      <w:r>
        <w:rPr>
          <w:rFonts w:ascii="宋体" w:hAnsi="宋体" w:eastAsia="宋体"/>
          <w:sz w:val="24"/>
          <w:b/>
        </w:rPr>
        <w:t>表3-5 甲醇 理化性质和危险特性一览表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850"/>
        <w:gridCol w:w="1106"/>
        <w:gridCol w:w="1474"/>
        <w:gridCol w:w="1106"/>
        <w:gridCol w:w="1446"/>
        <w:gridCol w:w="1162"/>
        <w:gridCol w:w="1077"/>
      </w:tblGrid>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标识</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中文名</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甲醇；木酒精</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英文名</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methyl alcohol</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危险化学品序号</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32058</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CH4O</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32.04</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危险类别</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1230</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3685" w:type="dxa"/>
            <w:gridSpan w:val="3"/>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67-56-1</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理化性质</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无色澄清液体，有刺激性气味。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-97.8</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7.95</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64.8</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0.79</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13.33（21.2℃)</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1.11</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240</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燃烧热（kJ·mol⁻¹）</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727</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溶于水，可混溶于醇、醚等多数有机溶剂。</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燃烧爆炸危险性</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5.5 ~ 44</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燃烧分解物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一氧化碳、二氧化碳。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自燃温度（℃）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385</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最大爆炸压力（MPa）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易燃，其蒸气与空气可形成爆炸性混合物。遇明火、高热能引起燃烧爆炸。与氧 化剂接触发生化学反应或引起燃烧。在火场中，受热的容器有爆炸危险。其蒸气比空气重， 能在较低处扩散到相当远的地方，遇明火会引着回燃。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灭火方法</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尽可能将容器从火场移至空旷处。喷水保持火场容器冷却，直至灭火结束。处在 火场中的容器若已变色或从安全泄压装置中产生声音，必须马上撤离。灭火剂： 抗溶性泡沫、 干粉、二氧化碳、砂土。</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禁忌物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酸类、酸酐、强氧化剂、碱金属。</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燃烧产物</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一氧化碳、二氧化碳。</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聚合危害</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不聚合</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毒性及健康危害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急性毒性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LC50 83776 mg/m³（大鼠吸入）；LD50 5628 mg/kg（大鼠经口）；中国 MAC 50 mg/m³</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健康危害</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对中枢神经系统有麻醉作用；对视神经和视网膜有特殊选择作用，引起病变；可 致代谢性酸中毒。急性中毒：短时大量吸入出现轻度眼及上呼吸道刺激症状（口服有胃肠道 刺激症状）；经一段时间潜伏期后出现头痛、头晕、乏力、眩晕、酒醉感、意识朦胧、谵妄， 甚至昏迷，视神经及视网膜病变，可有视物模糊、复视等，重者失明。代谢性酸中毒时出现 二氧化碳结合力下降、呼吸加速等。慢性影响：神经衰弱综合症，植物神经可能失调，粘膜 刺激，视力减退等。皮肤出现脱脂、皮炎等。</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急救</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脱出被污染的衣着，用肥皂水和清水彻底冲洗皮肤。眼睛接触：提起眼睑，用流动清水或生理盐水冲洗。就医。吸入：迅速脱离现场至空气新鲜处，保持呼吸道通畅。如呼吸困难，给输氧。如呼吸停止， 立即进行人工呼吸。就医。食入：饮足量温水，催吐，用清水或 1％硫代硫酸钠溶液洗胃。就医。</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防护</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生产过程密闭，加强通风。提供安全淋浴和洗眼设备。个人防护： 可能接触其蒸气时，应该佩戴过滤式防毒面具（半面罩）。紧急事态抢救或撤离 时，建议佩戴空气呼吸器。戴化学安全防护眼镜。穿防静电工作服；戴橡胶手套。工作现场 严禁吸烟、进食和饮水。工作毕，淋浴更衣。实行就业前和定期体检。</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泄漏处置</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bl>
    <w:p>
      <w:pPr>
        <w:keepNext w:val="true"/>
        <w:spacing w:line="500" w:lineRule="exact" w:before="0" w:after="0"/>
        <w:jc w:val="center"/>
      </w:pPr>
      <w:r>
        <w:rPr>
          <w:rFonts w:ascii="宋体" w:hAnsi="宋体" w:eastAsia="宋体"/>
          <w:sz w:val="24"/>
          <w:b/>
        </w:rPr>
        <w:t>表3-6 二甲苯 理化性质和危险特性一览表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850"/>
        <w:gridCol w:w="1106"/>
        <w:gridCol w:w="1474"/>
        <w:gridCol w:w="1106"/>
        <w:gridCol w:w="1446"/>
        <w:gridCol w:w="1162"/>
        <w:gridCol w:w="1077"/>
      </w:tblGrid>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标识</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中文名</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1,3-二甲苯；间二甲苯</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英文名</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1,3-xylene</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危险化学品序号</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33535</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C8H10</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106.17</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危险类别</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1307</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3685" w:type="dxa"/>
            <w:gridSpan w:val="3"/>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108-38-3</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理化性质</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无色透明液体，有类似甲苯的气味。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-47.9</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3.54</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139</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0.86</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1.33（28.3℃)</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3.66</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343.9</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燃烧热（kJ·mol⁻¹）</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4549.5</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不溶于水，可混溶与乙醇、乙醚、氯仿等多数有机溶剂。</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燃烧爆炸危险性</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 ~ 7</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燃烧分解物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一氧化碳、二氧化碳。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自燃温度（℃）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525</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最大爆炸压力（MPa）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0.764</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易燃，其蒸气与空气可形成爆炸性混合物。遇明火、高热能引起燃烧爆炸。与氧化 剂能发生强烈反应。流速过快， 容易产生和积聚静电。其蒸气比空气重， 能在较低处扩散到相 当远的地方，遇明火会引着回燃。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灭火方法</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喷水冷却容器，可能的话将容器从火场移至空旷处。灭火剂：泡沫、二氧化碳、干粉、 砂土。</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禁忌物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强氧化剂。</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燃烧产物</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一氧化碳、二氧化碳。</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聚合危害</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不聚合</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毒性及健康危害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急性毒性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LD50 5000 mg/kg（大鼠经口）；中国 MAC 100 mg/m³</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健康危害</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对眼和上呼吸道有刺激作用，高浓度时对中枢神经系统有麻醉作用。急性中毒： 短期内吸入较高浓度本品可出现眼和上呼吸道明 显的刺激症状、眼结膜和咽充血、头晕、头痛、恶心、呕吐、胸闷、四肢无力、意识模糊、步 态蹒跚。重者可有躁动、抽搐或昏迷。有的有癔病样发作。慢性影响：长期接触有神经衰弱综 合征，女工有月经异常，工人常发生皮肤干燥、皲裂、皮炎。</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急救</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脱出被污染的衣着，用肥皂水和清水彻底冲洗皮肤。眼睛接触：提起眼睑，用流动清水或生理盐水冲洗。就医。吸入：迅速脱离现场至空气新鲜处，保持呼吸道通畅。如呼吸困难， 给输氧。如呼吸停止， 立 即进行人工呼吸。就医。 食入：饮足量温水，催吐。就医。</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防护</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生产过程密闭，加强通风。个人防护：空气中浓度超标时，佩戴自吸过滤式防毒面具（半面罩）。紧急事态抢救或撤离时， 建议佩戴隔离式呼吸器；戴化学安全防护眼镜；穿防毒物渗透工作服；戴乳胶手套。工作现场 禁止吸烟、进食和饮水。工作毕，淋浴更衣。保持良好的卫生习惯。</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泄漏处置</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bl>
    <w:p>
      <w:pPr>
        <w:keepNext w:val="true"/>
        <w:spacing w:line="500" w:lineRule="exact" w:before="0" w:after="0"/>
        <w:jc w:val="center"/>
      </w:pPr>
      <w:r>
        <w:rPr>
          <w:rFonts w:ascii="宋体" w:hAnsi="宋体" w:eastAsia="宋体"/>
          <w:sz w:val="24"/>
          <w:b/>
        </w:rPr>
        <w:t>表3-7 乙酸乙酯 理化性质和危险特性一览表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850"/>
        <w:gridCol w:w="1106"/>
        <w:gridCol w:w="1474"/>
        <w:gridCol w:w="1106"/>
        <w:gridCol w:w="1446"/>
        <w:gridCol w:w="1162"/>
        <w:gridCol w:w="1077"/>
      </w:tblGrid>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标识</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中文名</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醋酸乙酯；乙酸乙酯</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英文名</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ethyl acetate</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危险化学品序号</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32127</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C4H8O2</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88.1</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危险类别</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1173</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3685" w:type="dxa"/>
            <w:gridSpan w:val="3"/>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141-78-6</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理化性质</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无色澄清液体，有芳香气味，易挥发。</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-83.6</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3.83</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77.2</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0.9</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13.33（27℃)</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3.04</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250.1</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燃烧热（kJ·mol⁻¹）</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2244.2</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微溶于水、溶于醇、酮、醚氯仿等多数有机溶剂。</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燃烧爆炸危险性</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 ~ 11.5</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燃烧分解物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一氧化碳、二氧化碳。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自燃温度（℃）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426</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最大爆炸压力（MPa）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0.85</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易燃，其蒸气与空气可形成爆炸性混合物。遇明火、高热能引起燃烧爆炸。与氧化剂 接触会猛烈反应。其蒸气比空气重，能在较低处扩散到相当远的地方，遇明火会引着回燃。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灭火方法</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抗溶性泡沫、干粉、二氧化碳、砂土。用水灭火无效， 但可用水保持火场中容器冷却。</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禁忌物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强氧化剂、碱类、酸类。</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燃烧产物</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一氧化碳、二氧化碳。</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聚合危害</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不聚合</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毒性及健康危害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急性毒性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健康危害</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吸入、食入、经皮肤吸收。对眼、鼻、喉有刺激作用。高浓度吸入可引起进行性麻醉作用， 急性肺水肿，肝、肾损害。持续 大量吸入，可致呼吸麻痹。误服者可产生恶心、呕吐、腹泻等。有致敏作用，因血管神经障碍而 致牙龈出血；可致湿疹样皮炎。慢性影响： 长期接触本品有时可致角膜混浊、继发性贫血、白细 胞增多等。</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急救</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脱去污染的衣着，用肥皂水和清水彻底冲洗皮肤。眼睛接触：提起眼睑，用流动清水或生理盐水冲洗。就医。吸入：迅速脱离现场至空气新鲜处，保持呼吸道通畅。如呼吸困难，给输氧。如呼吸停止，立即 进行人工呼吸。就医。食入：饮足量温水，催吐。就医。</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防护</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生产过程密闭，全面通风。提供安全淋浴和洗眼设备。个人防护：可能接触其蒸气时，应该佩戴自吸过滤式防防毒面具（半面罩）。紧急事态抢救或撤 离时，建议佩戴空气呼吸器。戴化学安全防护眼镜。穿防静电工作服。戴橡胶手套。工作现场禁 止吸烟。工作毕，淋浴更衣。注意个人清洁卫生。</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泄漏处置</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bl>
    <w:p>
      <w:pPr>
        <w:keepNext w:val="true"/>
        <w:spacing w:line="500" w:lineRule="exact" w:before="0" w:after="0"/>
        <w:jc w:val="center"/>
      </w:pPr>
      <w:r>
        <w:rPr>
          <w:rFonts w:ascii="宋体" w:hAnsi="宋体" w:eastAsia="宋体"/>
          <w:sz w:val="24"/>
          <w:b/>
        </w:rPr>
        <w:t>表3-8 氨水 理化性质和危险特性一览表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850"/>
        <w:gridCol w:w="1106"/>
        <w:gridCol w:w="1474"/>
        <w:gridCol w:w="1106"/>
        <w:gridCol w:w="1446"/>
        <w:gridCol w:w="1162"/>
        <w:gridCol w:w="1077"/>
      </w:tblGrid>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标识</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中文名</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氨溶液；氨水</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英文名</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ammonium hydroxide</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危险化学品序号</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82503</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NH4OH</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35.05</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危险类别</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2672</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3685" w:type="dxa"/>
            <w:gridSpan w:val="3"/>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1336-21-6</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理化性质</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无色透明液体，有强烈的刺激性臭味。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0.91</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1.59（20℃)</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燃烧热（kJ·mol⁻¹）</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溶于水、醇。</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燃烧爆炸危险性</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燃烧分解物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自燃温度（℃）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最大爆炸压力（MPa）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易分解放出氨气，温度越高，分解速度越快，可形成爆炸性气氛。</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灭火方法</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灭火剂：水、雾状水、砂土。</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禁忌物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酸类、铝、铜。</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燃烧产物</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聚合危害</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不聚合</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毒性及健康危害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急性毒性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中国 MAC（mg/m3 ） 未制定标准 前苏联 MAC（mg/m3 ） 未制定标准美国 TVL－TWA 未制定标准 美国 TLV－STEL 未制定标准</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健康危害</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吸入后对鼻、喉和肺有刺激性，引起咳嗽、气短和哮喘等；重者发生喉头水肿、 肺水肿及心、肝、肾损害。溅入眼内可造成灼伤。皮肤接触可致灼伤。口服灼伤消化道。慢性影响：反复低浓度接触，可引起支气管炎；可致皮炎。</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急救</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立即脱出被污染的衣着。用大量流动清水冲洗，至少 15 分钟。就医。眼睛接触：立即提起眼睑，用大量流动清水或生理盐水彻底冲洗至少 15 分钟。就医。吸入：迅速脱离现场至空气新鲜处，保持呼吸道通畅。如呼吸困难，给输氧。如呼吸停止， 立即进行人工呼吸。就医。食入：误服者用水漱口，给饮牛奶或蛋清。就医。</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防护</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严加密闭。提供充分的局部排风和全面通风。提供安全淋浴和洗眼设备。个人防护：可能接触其蒸气时，应该佩戴导管式防毒面具或直接式防毒面具（半面罩）。戴化 学安全防护眼镜；穿防酸碱工作服；戴橡胶手套。工作现场严禁吸烟、进食和饮水。工作毕， 淋浴更衣。保持良好的卫生习惯。</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泄漏处置</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bl>
    <w:p>
      <w:pPr>
        <w:keepNext w:val="true"/>
        <w:spacing w:line="500" w:lineRule="exact" w:before="0" w:after="0"/>
        <w:jc w:val="center"/>
      </w:pPr>
      <w:r>
        <w:rPr>
          <w:rFonts w:ascii="宋体" w:hAnsi="宋体" w:eastAsia="宋体"/>
          <w:sz w:val="24"/>
          <w:b/>
        </w:rPr>
        <w:t>表3-9 次氯酸钠 理化性质和危险特性一览表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850"/>
        <w:gridCol w:w="1106"/>
        <w:gridCol w:w="1474"/>
        <w:gridCol w:w="1106"/>
        <w:gridCol w:w="1446"/>
        <w:gridCol w:w="1162"/>
        <w:gridCol w:w="1077"/>
      </w:tblGrid>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标识</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中文名</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次氯酸钠溶液</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英文名</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sodium hypochlorite solution</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危险化学品序号</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83501</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NaClO</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74.44</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危险类别</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1791</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3685" w:type="dxa"/>
            <w:gridSpan w:val="3"/>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7681-52-9</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理化性质</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微黄色溶液，有似氯气的气味。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102.2</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燃烧热（kJ·mol⁻¹）</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溶于水。</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燃烧爆炸危险性</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燃烧分解物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氯化物</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自燃温度（℃）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最大爆炸压力（MPa）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受高热分解产生有毒的腐蚀性烟气。具有腐蚀性。</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灭火方法</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灭火剂：雾状水、二氧化碳、砂土。</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禁忌物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碱类</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燃烧产物</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氯化物</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聚合危害</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不聚合</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毒性及健康危害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急性毒性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健康危害</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经常用手接触本品的工人，手掌大量出汗，指甲变薄，毛发脱落。本品有致敏作 用。本品放出的游离氯可能引起中毒。</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急救</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脱去被污染的衣着，用大量流动清水冲洗。眼镜接触：提起眼睑，用流动清水或生理盐水冲洗。就医。吸入：迅速脱离现场至空气新鲜处。保持呼吸道畅通。如呼吸困难，给输氧。如呼吸停止， 立即进行人工呼吸。就医。食入：饮足量温水，催吐。就医。</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防护</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泄漏处置</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bl>
    <w:p>
      <w:pPr>
        <w:keepNext w:val="true"/>
        <w:spacing w:line="500" w:lineRule="exact" w:before="0" w:after="0"/>
        <w:jc w:val="center"/>
      </w:pPr>
      <w:r>
        <w:rPr>
          <w:rFonts w:ascii="宋体" w:hAnsi="宋体" w:eastAsia="宋体"/>
          <w:sz w:val="24"/>
          <w:b/>
        </w:rPr>
        <w:t>表3-10 硫化氢 理化性质和危险特性一览表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850"/>
        <w:gridCol w:w="1106"/>
        <w:gridCol w:w="1474"/>
        <w:gridCol w:w="1106"/>
        <w:gridCol w:w="1446"/>
        <w:gridCol w:w="1162"/>
        <w:gridCol w:w="1077"/>
      </w:tblGrid>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标识</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中文名</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硫化氢</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英文名</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hydrogen sulfide</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危险化学品序号</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21043</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H2S</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34.08</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危险类别</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1053</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3685" w:type="dxa"/>
            <w:gridSpan w:val="3"/>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7783-06-4</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理化性质</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无色有恶臭气体。</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-85.5</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9.01</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-60.4</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2026.5（25.5℃)</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1.19</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100.4</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燃烧热（kJ·mol⁻¹）</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溶于水、乙醇。</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燃烧爆炸危险性</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 ~ 46</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燃烧分解物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氧化硫。</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自燃温度（℃）</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260</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最大爆炸压力（MPa）</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易燃，与空气混合能形成爆炸性混合物，遇明火、高热能引起燃烧爆炸。与浓硝 酸、发烟硝酸或其它强氧化剂剧烈反应，发生爆炸。气体比空气重，能在较低处扩散到相当 远的地方，遇明火会引起回燃。</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灭火方法</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消防人员须穿戴全身防火防毒服。切断气源。若不能立即切断气源，则不允许熄 灭正在燃烧的气体。喷水冷却容器，可能的话将容器从火场移至空旷处。灭火剂：雾状水、 抗溶性泡沫、干粉。</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禁忌物</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强氧化剂、碱类。</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燃烧产物</w:t>
            </w:r>
          </w:p>
        </w:tc>
        <w:tc>
          <w:tcPr>
            <w:tcW w:w="144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氧化硫。</w:t>
            </w:r>
          </w:p>
        </w:tc>
        <w:tc>
          <w:tcPr>
            <w:tcW w:w="11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聚合危害</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不聚合</w:t>
            </w:r>
          </w:p>
        </w:tc>
      </w:tr>
      <w:tr>
        <w:trPr>
          <w:cantSplit w:val="true"/>
          <w:trHeight w:val="320" w:hRule="atLeast"/>
        </w:trPr>
        <w:tc>
          <w:tcPr>
            <w:tcW w:w="850"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毒性及健康危害</w:t>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急性毒性</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健康危害</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本品是强烈的神经毒物，对粘膜有强烈刺激作用。急性中毒：短期内吸入高浓度 硫化氢后出现流泪、眼痛、眼内异物感、畏光、视物模糊、流涕、咽喉部灼热感、咳嗽、胸 闷、头痛、头晕、乏力、意识模糊等。部分患者可有心肌损害。重者可出现老水肿、肺水肿。 极高浓度（1000mg/m3 以上）时可在数秒钟内突然昏迷，呼吸和心跳骤停，发生闪电型死亡。 高浓度接触眼结膜发生水肿和结膜溃疡。</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急救</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防护</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严加密闭，提供充分的局部排风和全面通风。提供安全淋浴和洗眼设备。呼吸系统防护：空气中浓度超标时，佩戴过滤式防毒面具（全面罩）。紧急事态抢救或撤离时， 建议佩戴氧气呼吸器或空气呼吸器。眼睛防护：戴化学安全防护眼镜。身体防护：穿防静电工作服。手防护：戴化学品手套。</w:t>
            </w:r>
          </w:p>
        </w:tc>
      </w:tr>
      <w:tr>
        <w:trPr>
          <w:cantSplit w:val="true"/>
          <w:trHeight w:val="320" w:hRule="atLeast"/>
        </w:trPr>
        <w:tc>
          <w:tcPr>
            <w:tcW w:w="850"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10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泄漏处置</w:t>
            </w:r>
          </w:p>
        </w:tc>
        <w:tc>
          <w:tcPr>
            <w:tcW w:w="6265" w:type="dxa"/>
            <w:gridSpan w:val="5"/>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bl>
    <w:p>
      <w:pPr>
        <w:pStyle w:val="Heading2"/>
        <w:spacing w:line="500" w:lineRule="exact" w:before="0" w:after="0"/>
        <w:jc w:val="left"/>
        <w:outlineLvl w:val="1"/>
      </w:pPr>
      <w:bookmarkStart w:id="90009" w:name="_Toc90009"/>
      <w:r>
        <w:rPr>
          <w:rFonts w:ascii="Times New Roman" w:hAnsi="Times New Roman" w:eastAsia="宋体"/>
          <w:sz w:val="28"/>
          <w:b/>
        </w:rPr>
        <w:t>3.4 项目生产运营情况简介</w:t>
      </w:r>
      <w:bookmarkEnd w:id="90009"/>
    </w:p>
    <w:p>
      <w:pPr>
        <w:spacing w:line="500" w:lineRule="exact" w:before="0" w:after="0"/>
        <w:ind w:firstLineChars="200"/>
        <w:jc w:val="left"/>
      </w:pPr>
      <w:r>
        <w:rPr>
          <w:rFonts w:ascii="Times New Roman" w:hAnsi="Times New Roman" w:eastAsia="宋体"/>
          <w:sz w:val="24"/>
        </w:rPr>
        <w:t>公司生产工艺流程为：原料验收→储罐区收料/计量→配比投料→反应釜合成→蒸馏精馏→冷却结晶→离心过滤→干燥→包装入库。各工序产污环节如下：（1）原料验收及储罐区收料/计量工序，盐酸、硫酸、甲醇等液体物料通过装卸鹤管及发料泵收发，产生呼吸损耗废气，主要污染物为氯化氢、硫酸雾、甲醇及非甲烷总烃等；（2）配比投料工序，桶装二甲苯、乙酸乙酯、氨水、次氯酸钠及袋装氢氧化钠等物料在投料过程中产生少量挥发废气及粉尘；（3）反应釜合成工序，反应过程产生工艺不凝气，经冷凝后送废气处理系统；（4）蒸馏精馏工序，蒸馏塔不凝气经冷凝后送废气处理，同时产生精馏残渣等危险废物；（5）冷却结晶、离心过滤工序，产生离心母液及设备清洗水；（6）干燥工序，产生含尘及有机废气；（7）包装入库工序，产生少量粉尘及废包装桶。此外，设备清洗与地面冲洗水、初期雨水经厂内预处理后排入园区污水处理厂；储罐区收发料与装卸作业产生呼吸损耗；导热油在系统内循环使用。</w:t>
      </w:r>
    </w:p>
    <w:p>
      <w:pPr>
        <w:pStyle w:val="Heading2"/>
        <w:spacing w:line="500" w:lineRule="exact" w:before="0" w:after="0"/>
        <w:jc w:val="left"/>
        <w:outlineLvl w:val="1"/>
      </w:pPr>
      <w:bookmarkStart w:id="90010" w:name="_Toc90010"/>
      <w:r>
        <w:rPr>
          <w:rFonts w:ascii="Times New Roman" w:hAnsi="Times New Roman" w:eastAsia="宋体"/>
          <w:sz w:val="28"/>
          <w:b/>
        </w:rPr>
        <w:t>3.5 安全生产与环境管理</w:t>
      </w:r>
      <w:bookmarkEnd w:id="90010"/>
    </w:p>
    <w:p>
      <w:pPr>
        <w:spacing w:line="500" w:lineRule="exact" w:before="0" w:after="0"/>
        <w:ind w:firstLineChars="200"/>
        <w:jc w:val="left"/>
      </w:pPr>
      <w:r>
        <w:rPr>
          <w:rFonts w:ascii="Times New Roman" w:hAnsi="Times New Roman" w:eastAsia="宋体"/>
          <w:sz w:val="24"/>
        </w:rPr>
        <w:t>泰安示例新材料科技有限公司位于山东省泰安市岱岳区某工业园区兴业路18号，统一社会信用代码为91370911MA3XXXXXXX，法定代表人李某某，联系电话0538-866XXXX。公司成立于2014年5月，所属行业为化学原料和化学制品制造业（C26），企业规模为小型，厂区占地面积15000平方米，现有从业人员68人。公司地理坐标为东经117.04、北纬36.02，厂区周边交通条件依托工业园区路网。公司主要从事化学原料及化学制品生产，生产工艺涉及原料验收、储罐区收料与计量、配比投料、反应釜合成、蒸馏精馏、冷却结晶、离心过滤、干燥及包装入库等工序，生产过程中涉及盐酸、硫酸、甲醇、二甲苯、乙酸乙酯、氨水、次氯酸钠等原辅材料的使用与储存。公司设有安全生产与环境保护管理机构，配备专（兼）职环保管理人员，负责日常环境管理、污染治理设施运行维护及环境应急管理工作。公司经营范围以工商登记核准内容为准，涉及许可经营项目凭许可证件经营。企业环境风险等级经系统按HJ 941-2018计算为重大级，涉气Q值13.5200（Q2），涉水Q值13.9000（Q2）。</w:t>
      </w:r>
    </w:p>
    <w:p>
      <w:pPr>
        <w:pStyle w:val="Heading2"/>
        <w:spacing w:line="500" w:lineRule="exact" w:before="0" w:after="0"/>
        <w:jc w:val="left"/>
        <w:outlineLvl w:val="1"/>
      </w:pPr>
      <w:bookmarkStart w:id="90011" w:name="_Toc90011"/>
      <w:r>
        <w:rPr>
          <w:rFonts w:ascii="Times New Roman" w:hAnsi="Times New Roman" w:eastAsia="宋体"/>
          <w:sz w:val="28"/>
          <w:b/>
        </w:rPr>
        <w:t>3.6 现有环境风险防控与应急措施情况</w:t>
      </w:r>
      <w:bookmarkEnd w:id="90011"/>
    </w:p>
    <w:p>
      <w:pPr>
        <w:spacing w:line="500" w:lineRule="exact" w:before="0" w:after="0"/>
        <w:ind w:firstLineChars="200"/>
        <w:jc w:val="left"/>
      </w:pPr>
      <w:r>
        <w:rPr>
          <w:rFonts w:ascii="Times New Roman" w:hAnsi="Times New Roman" w:eastAsia="宋体"/>
          <w:sz w:val="24"/>
        </w:rPr>
        <w:t>针对储罐区，盐酸储罐、硫酸储罐、甲醇储罐设置围堰及防火堤，储罐区配置可燃有毒气体泄漏报警装置与防雷防静电接地设施，收发料及装卸作业通过装卸鹤管及发料泵在专人监护下进行，防止跑冒滴漏。针对反应釜与蒸馏塔单元，工艺不凝气、储罐呼吸气及装卸废气经冷凝后送活性炭吸附+UV光解废气处理装置处理，经15米排气筒排放；反应釜、蒸馏塔操作严格执行工艺指标，设备管理部门定期检修冷凝器、离心机、干燥机，防止物料泄漏。针对桶装物料存放区，二甲苯、乙酸乙酯、氨水、次氯酸钠分类存放，由生产部门落实防泄漏与防混存管理。针对废水单元，工艺废水、设备及地面冲洗水、初期雨水经厂内废水预处理设施处理后排入园区污水处理厂，初期雨水收集池（120立方米）与事故应急池（200立方米）保持有效容积，事故水总排口切换阀由安环部负责日常检查，确保事故状态下能够及时切换截流。针对危废暂存间，废活性炭、废有机溶剂、废包装桶、废矿物油、精馏残渣分类暂存，委托泰安某危废处置有限公司处置，危废暂存间加盖收集废气并入废气处理系统。管理措施方面，安环部负责组织风险单元巡查、台账管理与制度落实，生产部门负责操作规程执行，设备管理部门负责设施维护保养。</w:t>
      </w:r>
    </w:p>
    <w:p>
      <w:pPr>
        <w:pStyle w:val="Heading2"/>
        <w:spacing w:line="500" w:lineRule="exact" w:before="0" w:after="0"/>
        <w:jc w:val="left"/>
        <w:outlineLvl w:val="1"/>
      </w:pPr>
      <w:bookmarkStart w:id="90012" w:name="_Toc90012"/>
      <w:r>
        <w:rPr>
          <w:rFonts w:ascii="Times New Roman" w:hAnsi="Times New Roman" w:eastAsia="宋体"/>
          <w:sz w:val="28"/>
          <w:b/>
        </w:rPr>
        <w:t>3.7 现有应急物资与装备、救援队伍情况</w:t>
      </w:r>
      <w:bookmarkEnd w:id="90012"/>
    </w:p>
    <w:p>
      <w:pPr>
        <w:spacing w:line="500" w:lineRule="exact" w:before="0" w:after="0"/>
        <w:ind w:firstLineChars="200"/>
        <w:jc w:val="left"/>
      </w:pPr>
      <w:r>
        <w:rPr>
          <w:rFonts w:ascii="Times New Roman" w:hAnsi="Times New Roman" w:eastAsia="宋体"/>
          <w:sz w:val="24"/>
        </w:rPr>
        <w:t>公司设置应急物资库、应急器材柜、车间应急柜及安环部等存放点，储备的应急物资包括：吸油毡400×500mm共200张、吸油围栏（拦油索）直径200mm×10m共4条、防酸碱防护服全封闭6套、正压式空气呼吸器6.8L/30MPa共4套、过滤式防毒面具（含滤毒盒）A/B/E/K组合20套、化学防护手套及护目镜耐酸碱20套、堵漏胶及堵漏夹具和木楔成套2套、干粉灭火器4kg共40只、推车式干粉/泡沫灭火器35kg共6只、酸碱中和药剂（石灰、碳酸钠）袋装2吨、便携式气体检测仪四合一（O2/LEL/H2S/CO）4台、便携式VOCs检测仪（PID）2台、应急照明灯及警示带和警示牌成套10套、应急转运桶及沙袋200L/50kg共20个和200条、洗眼器及应急喷淋装置固定式6处。应急物资库、应急器材柜物资由孙某某（电话13700000001）管理，车间应急柜及储罐区、危废暂存间消防器材由周某某（电话13700000002）管理。后勤保障组负责物资的日常检查、维护保养和及时补充，确保吸油毡、吸油围栏、堵漏器材、中和药剂等处于有效可用状态，正压式空气呼吸器气瓶压力、便携式气体检测仪和VOCs检测仪电量及标定状态定期核查。尚需完善的是，应急物资台账和出入库记录有待规范，物资定期检查周期和报废更新制度尚未成文，应结合演练和实际消耗情况动态补充，保障事故状态下物资调得出、用得上。</w:t>
      </w:r>
    </w:p>
    <w:p>
      <w:pPr>
        <w:pStyle w:val="Heading1"/>
        <w:spacing w:line="500" w:lineRule="exact" w:before="0" w:after="0"/>
        <w:jc w:val="left"/>
        <w:outlineLvl w:val="0"/>
      </w:pPr>
      <w:bookmarkStart w:id="90013" w:name="_Toc90013"/>
      <w:r>
        <w:rPr>
          <w:rFonts w:ascii="Times New Roman" w:hAnsi="Times New Roman" w:eastAsia="宋体"/>
          <w:sz w:val="30"/>
          <w:b/>
        </w:rPr>
        <w:t>4 突发环境事件情景构建</w:t>
      </w:r>
      <w:bookmarkEnd w:id="90013"/>
    </w:p>
    <w:p>
      <w:pPr>
        <w:pStyle w:val="Heading2"/>
        <w:spacing w:line="500" w:lineRule="exact" w:before="0" w:after="0"/>
        <w:jc w:val="left"/>
        <w:outlineLvl w:val="1"/>
      </w:pPr>
      <w:bookmarkStart w:id="90014" w:name="_Toc90014"/>
      <w:r>
        <w:rPr>
          <w:rFonts w:ascii="Times New Roman" w:hAnsi="Times New Roman" w:eastAsia="宋体"/>
          <w:sz w:val="28"/>
          <w:b/>
        </w:rPr>
        <w:t>4.1 同类行业突发环境事件情景分析</w:t>
      </w:r>
      <w:bookmarkEnd w:id="90014"/>
    </w:p>
    <w:p>
      <w:pPr>
        <w:spacing w:line="500" w:lineRule="exact" w:before="0" w:after="0"/>
        <w:ind w:firstLineChars="200"/>
        <w:jc w:val="left"/>
      </w:pPr>
      <w:r>
        <w:rPr>
          <w:rFonts w:ascii="Times New Roman" w:hAnsi="Times New Roman" w:eastAsia="宋体"/>
          <w:sz w:val="24"/>
        </w:rPr>
        <w:t>分析同行业已发生的典型突发环境事件，提炼事故诱因与污染途径，作为本单位情景构建的参考。</w:t>
      </w:r>
    </w:p>
    <w:p>
      <w:pPr>
        <w:pStyle w:val="Heading2"/>
        <w:spacing w:line="500" w:lineRule="exact" w:before="0" w:after="0"/>
        <w:jc w:val="left"/>
        <w:outlineLvl w:val="1"/>
      </w:pPr>
      <w:bookmarkStart w:id="90015" w:name="_Toc90015"/>
      <w:r>
        <w:rPr>
          <w:rFonts w:ascii="Times New Roman" w:hAnsi="Times New Roman" w:eastAsia="宋体"/>
          <w:sz w:val="28"/>
          <w:b/>
        </w:rPr>
        <w:t>4.2 突发环境事件情景分析</w:t>
      </w:r>
      <w:bookmarkEnd w:id="90015"/>
    </w:p>
    <w:p>
      <w:pPr>
        <w:spacing w:line="500" w:lineRule="exact" w:before="0" w:after="0"/>
        <w:ind w:firstLineChars="200"/>
        <w:jc w:val="left"/>
      </w:pPr>
      <w:r>
        <w:rPr>
          <w:rFonts w:ascii="Times New Roman" w:hAnsi="Times New Roman" w:eastAsia="宋体"/>
          <w:sz w:val="24"/>
        </w:rPr>
        <w:t>突发环境事件的大气影响方面，根据大气扩散预测，硫酸泄漏后F类稳定度下100米处浓度89.3096 mg/m³、200米处23.0912 mg/m³、300米处10.6048 mg/m³、500米处4.0668 mg/m³、1000米处1.1764 mg/m³、2000米处0.3781 mg/m³、3000米处0.2077 mg/m³、5000米处0.1057 mg/m³；下风向浓度降至LC₅₀（510.0000 mg/m³）以内的距离约50米，该范围内人员存在急性中毒风险；降至车间最高允许浓度（2.0000 mg/m³）以内的距离约740米，该范围内作业人员应配备相应个体防护用品。甲醇池火情景下，热辐射25 kW/m²等值线距离10.5米，12.5 kW/m²距离14.9米，4 kW/m²距离26.3米；蒸气云爆炸情景下，超压0.10 MPa距离43.7米，0.05 MPa距离62.7米，0.03 MPa距离84.5米，0.02 MPa距离109.6米。上述范围内涉及王家村（东北420米）及园区管委会（南900米）等受体，须按对应距离划定警戒与疏散范围。水体影响方面，事故废水若经雨水总排口进入某河，将影响某河水质，某河为园区污水处理厂尾水受纳水体，下游10公里涉及基本农田保护区，且某镇集中供水水源井位于某河下游10公里范围内，可能对地下水及供水安全构成威胁。土壤影响方面，危废暂存间废有机溶剂、废矿物油及精馏残渣泄漏下渗，或储罐区硫酸、盐酸泄漏漫流，可能造成土壤酸化及地下水污染。</w:t>
      </w:r>
    </w:p>
    <w:p>
      <w:pPr>
        <w:pStyle w:val="Heading2"/>
        <w:spacing w:line="500" w:lineRule="exact" w:before="0" w:after="0"/>
        <w:jc w:val="left"/>
        <w:outlineLvl w:val="1"/>
      </w:pPr>
      <w:bookmarkStart w:id="90016" w:name="_Toc90016"/>
      <w:r>
        <w:rPr>
          <w:rFonts w:ascii="Times New Roman" w:hAnsi="Times New Roman" w:eastAsia="宋体"/>
          <w:sz w:val="28"/>
          <w:b/>
        </w:rPr>
        <w:t>4.3 事故危险性及原因分析</w:t>
      </w:r>
      <w:bookmarkEnd w:id="90016"/>
    </w:p>
    <w:p>
      <w:pPr>
        <w:spacing w:line="500" w:lineRule="exact" w:before="0" w:after="0"/>
        <w:ind w:firstLineChars="200"/>
        <w:jc w:val="left"/>
      </w:pPr>
      <w:r>
        <w:rPr>
          <w:rFonts w:ascii="Times New Roman" w:hAnsi="Times New Roman" w:eastAsia="宋体"/>
          <w:sz w:val="24"/>
        </w:rPr>
        <w:t>公司环境风险单元主要包括储罐区、生产车间、危废暂存间、废水预处理设施及废气处理设施。储罐区涉及盐酸储罐（30立方米）、硫酸储罐（2×20立方米）、甲醇储罐（20立方米）及桶装二甲苯、乙酸乙酯、氨水、次氯酸钠等物料，收发料与装卸作业产生呼吸损耗，事故诱因包括储罐或管线腐蚀穿孔、装卸鹤管及发料泵密封失效、防雷防静电接地失效、误操作导致冒罐溢流；污染途径为泄漏物料挥发进入大气、经围堰漫流或雨水管网进入某河及地下水。生产车间涉及反应釜（3台）、蒸馏塔（2台）、冷凝器（4台）、离心机（2台）、干燥机（2台），事故诱因包括反应失控超温超压、冷凝器失效致不凝气异常排放、设备清洗与地面冲洗水未有效收集；污染途径为工艺废气经15米排气筒非正常排放、冲洗水经厂内预处理设施后排入园区污水处理厂。危废暂存间（80平方米）暂存废活性炭、废有机溶剂、废包装桶、废矿物油、精馏残渣，事故诱因包括包装容器破损、分类存放不规范、渗滤液收集不畅；污染途径为危废泄漏下渗污染土壤及地下水。废水预处理设施及事故应急池（200立方米）、初期雨水收集池（120立方米）、事故水总排口切换阀构成水污染防控单元，事故诱因包括切换阀失灵、池体渗漏、初期雨水未及时收集；污染途径为事故废水经雨水总排口进入某河。废气处理设施（活性炭吸附+UV光解）事故诱因包括活性炭饱和、UV灯管故障，污染途径为VOCs及酸性气体超标排放。</w:t>
      </w:r>
    </w:p>
    <w:p>
      <w:pPr>
        <w:pStyle w:val="Heading2"/>
        <w:spacing w:line="500" w:lineRule="exact" w:before="0" w:after="0"/>
        <w:jc w:val="left"/>
        <w:outlineLvl w:val="1"/>
      </w:pPr>
      <w:bookmarkStart w:id="90017" w:name="_Toc90017"/>
      <w:r>
        <w:rPr>
          <w:rFonts w:ascii="Times New Roman" w:hAnsi="Times New Roman" w:eastAsia="宋体"/>
          <w:sz w:val="28"/>
          <w:b/>
        </w:rPr>
        <w:t>4.4 突发环境事件情景源强分析</w:t>
      </w:r>
      <w:bookmarkEnd w:id="90017"/>
    </w:p>
    <w:p>
      <w:pPr>
        <w:spacing w:line="500" w:lineRule="exact" w:before="0" w:after="0"/>
        <w:ind w:firstLineChars="200"/>
        <w:jc w:val="left"/>
      </w:pPr>
      <w:r>
        <w:rPr>
          <w:rFonts w:ascii="Times New Roman" w:hAnsi="Times New Roman" w:eastAsia="宋体"/>
          <w:sz w:val="24"/>
        </w:rPr>
        <w:t>事故源强分析用于定量回答「一旦发生事故，有多少物料进入环境、在下风向多远范围内浓度达到何种水平、火灾热辐射与爆炸超压的影响距离有多远、需要多大容积的事故应急池」，是确定警戒范围、疏散距离和应急设施规模的计算依据。</w:t>
      </w:r>
    </w:p>
    <w:p>
      <w:pPr>
        <w:spacing w:line="500" w:lineRule="exact" w:before="0" w:after="0"/>
        <w:ind w:firstLineChars="200"/>
        <w:jc w:val="left"/>
      </w:pPr>
      <w:r>
        <w:rPr>
          <w:rFonts w:ascii="Times New Roman" w:hAnsi="Times New Roman" w:eastAsia="宋体"/>
          <w:sz w:val="24"/>
        </w:rPr>
        <w:t>按「风险最大、对环境影响最大」的原则，从企业全部环境风险物质中筛选代表性事故情景。筛选同时考虑物质的最大存在量（决定泄漏总量）、数量与临界量比值 Q（决定环境风险等级贡献）、饱和蒸汽压与沸点（决定泄漏后能否形成有毒或可燃蒸气云）以及闪点（决定能否形成池火）。筛选过程见下表。</w:t>
      </w:r>
    </w:p>
    <w:p>
      <w:pPr>
        <w:keepNext w:val="true"/>
        <w:spacing w:line="500" w:lineRule="exact" w:before="0" w:after="0"/>
        <w:jc w:val="center"/>
      </w:pPr>
      <w:r>
        <w:rPr>
          <w:rFonts w:ascii="宋体" w:hAnsi="宋体" w:eastAsia="宋体"/>
          <w:sz w:val="24"/>
          <w:b/>
        </w:rPr>
        <w:t>表4-1 涉气风险物质数量与临界量比值计算表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617"/>
        <w:gridCol w:w="2775"/>
        <w:gridCol w:w="1644"/>
        <w:gridCol w:w="1542"/>
        <w:gridCol w:w="1644"/>
      </w:tblGrid>
      <w:tr>
        <w:trPr>
          <w:cantSplit w:val="true"/>
          <w:trHeight w:val="320" w:hRule="atLeast"/>
          <w:tblHeader w:val="true"/>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风险物质名称</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最大存在量（t）</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临界量（t）</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Q值</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7.5000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二甲苯</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0.8000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乙酸乙酯</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0.5000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氨水</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0.2000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硫化氢</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0.0500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0.0200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合计</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Q = 13.5200</w:t>
            </w:r>
          </w:p>
        </w:tc>
      </w:tr>
    </w:tbl>
    <w:p>
      <w:pPr>
        <w:keepNext w:val="true"/>
        <w:spacing w:line="500" w:lineRule="exact" w:before="0" w:after="0"/>
        <w:jc w:val="center"/>
      </w:pPr>
      <w:r>
        <w:rPr>
          <w:rFonts w:ascii="宋体" w:hAnsi="宋体" w:eastAsia="宋体"/>
          <w:sz w:val="24"/>
          <w:b/>
        </w:rPr>
        <w:t>表4-2 最不利事故情景筛选表</w:t>
      </w:r>
    </w:p>
    <w:tbl>
      <w:tblPr>
        <w:tblStyle w:val="TableGrid"/>
        <w:tblLook w:firstColumn="1" w:firstRow="1" w:lastColumn="0" w:lastRow="0" w:noHBand="0" w:noVBand="1" w:val="04A0"/>
        <w:tblW w:w="8221" w:type="dxa"/>
        <w:jc w:val="center"/>
        <w:tblInd w:w="0" w:type="dxa"/>
        <w:tblLayout w:type="fixed"/>
        <w:tblCellMar>
          <w:top w:w="0" w:type="dxa"/>
          <w:start w:w="108" w:type="dxa"/>
          <w:bottom w:w="0" w:type="dxa"/>
          <w:end w:w="108" w:type="dxa"/>
        </w:tblCellMar>
      </w:tblPr>
      <w:tblGrid>
        <w:gridCol w:w="454"/>
        <w:gridCol w:w="1021"/>
        <w:gridCol w:w="794"/>
        <w:gridCol w:w="737"/>
        <w:gridCol w:w="680"/>
        <w:gridCol w:w="765"/>
        <w:gridCol w:w="765"/>
        <w:gridCol w:w="964"/>
        <w:gridCol w:w="850"/>
        <w:gridCol w:w="1191"/>
      </w:tblGrid>
      <w:tr>
        <w:trPr>
          <w:cantSplit w:val="true"/>
          <w:trHeight w:val="320" w:hRule="atLeast"/>
          <w:tblHeader w:val="true"/>
        </w:trPr>
        <w:tc>
          <w:tcPr>
            <w:tcW w:w="45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风险物质</w:t>
            </w:r>
          </w:p>
        </w:tc>
        <w:tc>
          <w:tcPr>
            <w:tcW w:w="79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最大存在量(t)</w:t>
            </w:r>
          </w:p>
        </w:tc>
        <w:tc>
          <w:tcPr>
            <w:tcW w:w="73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临界量(t)</w:t>
            </w:r>
          </w:p>
        </w:tc>
        <w:tc>
          <w:tcPr>
            <w:tcW w:w="68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 值</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9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危害性质</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入选源强情景</w:t>
            </w:r>
          </w:p>
        </w:tc>
      </w:tr>
      <w:tr>
        <w:trPr>
          <w:cantSplit w:val="true"/>
          <w:trHeight w:val="320" w:hRule="atLeast"/>
        </w:trPr>
        <w:tc>
          <w:tcPr>
            <w:tcW w:w="45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w:t>
            </w:r>
          </w:p>
        </w:tc>
        <w:tc>
          <w:tcPr>
            <w:tcW w:w="79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w:t>
            </w:r>
          </w:p>
        </w:tc>
        <w:tc>
          <w:tcPr>
            <w:tcW w:w="73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7.5</w:t>
            </w:r>
          </w:p>
        </w:tc>
        <w:tc>
          <w:tcPr>
            <w:tcW w:w="68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108.6</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无意义</w:t>
            </w:r>
          </w:p>
        </w:tc>
        <w:tc>
          <w:tcPr>
            <w:tcW w:w="9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30.66</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有毒、易挥发</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w:t>
            </w:r>
          </w:p>
        </w:tc>
      </w:tr>
      <w:tr>
        <w:trPr>
          <w:cantSplit w:val="true"/>
          <w:trHeight w:val="320" w:hRule="atLeast"/>
        </w:trPr>
        <w:tc>
          <w:tcPr>
            <w:tcW w:w="45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w:t>
            </w:r>
          </w:p>
        </w:tc>
        <w:tc>
          <w:tcPr>
            <w:tcW w:w="79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w:t>
            </w:r>
          </w:p>
        </w:tc>
        <w:tc>
          <w:tcPr>
            <w:tcW w:w="73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w:t>
            </w:r>
          </w:p>
        </w:tc>
        <w:tc>
          <w:tcPr>
            <w:tcW w:w="68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330</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无意义</w:t>
            </w:r>
          </w:p>
        </w:tc>
        <w:tc>
          <w:tcPr>
            <w:tcW w:w="9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0.13</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有毒、易挥发</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泄漏；有毒扩散</w:t>
            </w:r>
          </w:p>
        </w:tc>
      </w:tr>
      <w:tr>
        <w:trPr>
          <w:cantSplit w:val="true"/>
          <w:trHeight w:val="320" w:hRule="atLeast"/>
        </w:trPr>
        <w:tc>
          <w:tcPr>
            <w:tcW w:w="45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w:t>
            </w:r>
          </w:p>
        </w:tc>
        <w:tc>
          <w:tcPr>
            <w:tcW w:w="79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w:t>
            </w:r>
          </w:p>
        </w:tc>
        <w:tc>
          <w:tcPr>
            <w:tcW w:w="73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w:t>
            </w:r>
          </w:p>
        </w:tc>
        <w:tc>
          <w:tcPr>
            <w:tcW w:w="68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64.8</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w:t>
            </w:r>
          </w:p>
        </w:tc>
        <w:tc>
          <w:tcPr>
            <w:tcW w:w="9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13.33</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可燃、有毒、易挥发</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池火；蒸气云爆炸</w:t>
            </w:r>
          </w:p>
        </w:tc>
      </w:tr>
      <w:tr>
        <w:trPr>
          <w:cantSplit w:val="true"/>
          <w:trHeight w:val="320" w:hRule="atLeast"/>
        </w:trPr>
        <w:tc>
          <w:tcPr>
            <w:tcW w:w="45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二甲苯</w:t>
            </w:r>
          </w:p>
        </w:tc>
        <w:tc>
          <w:tcPr>
            <w:tcW w:w="79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w:t>
            </w:r>
          </w:p>
        </w:tc>
        <w:tc>
          <w:tcPr>
            <w:tcW w:w="73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w:t>
            </w:r>
          </w:p>
        </w:tc>
        <w:tc>
          <w:tcPr>
            <w:tcW w:w="68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0.8</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139</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w:t>
            </w:r>
          </w:p>
        </w:tc>
        <w:tc>
          <w:tcPr>
            <w:tcW w:w="9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可燃、有毒、易挥发</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w:t>
            </w:r>
          </w:p>
        </w:tc>
      </w:tr>
      <w:tr>
        <w:trPr>
          <w:cantSplit w:val="true"/>
          <w:trHeight w:val="320" w:hRule="atLeast"/>
        </w:trPr>
        <w:tc>
          <w:tcPr>
            <w:tcW w:w="45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乙酸乙酯</w:t>
            </w:r>
          </w:p>
        </w:tc>
        <w:tc>
          <w:tcPr>
            <w:tcW w:w="79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73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w:t>
            </w:r>
          </w:p>
        </w:tc>
        <w:tc>
          <w:tcPr>
            <w:tcW w:w="68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0.5</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77.2</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9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13.33</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可燃、易挥发</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w:t>
            </w:r>
          </w:p>
        </w:tc>
      </w:tr>
      <w:tr>
        <w:trPr>
          <w:cantSplit w:val="true"/>
          <w:trHeight w:val="320" w:hRule="atLeast"/>
        </w:trPr>
        <w:tc>
          <w:tcPr>
            <w:tcW w:w="45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氨水</w:t>
            </w:r>
          </w:p>
        </w:tc>
        <w:tc>
          <w:tcPr>
            <w:tcW w:w="79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73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w:t>
            </w:r>
          </w:p>
        </w:tc>
        <w:tc>
          <w:tcPr>
            <w:tcW w:w="68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0.2</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无意义</w:t>
            </w:r>
          </w:p>
        </w:tc>
        <w:tc>
          <w:tcPr>
            <w:tcW w:w="9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1.59</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易挥发</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w:t>
            </w:r>
          </w:p>
        </w:tc>
      </w:tr>
      <w:tr>
        <w:trPr>
          <w:cantSplit w:val="true"/>
          <w:trHeight w:val="320" w:hRule="atLeast"/>
        </w:trPr>
        <w:tc>
          <w:tcPr>
            <w:tcW w:w="45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次氯酸钠</w:t>
            </w:r>
          </w:p>
        </w:tc>
        <w:tc>
          <w:tcPr>
            <w:tcW w:w="79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73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68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0.4</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102.2</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不燃，无闪点</w:t>
            </w:r>
          </w:p>
        </w:tc>
        <w:tc>
          <w:tcPr>
            <w:tcW w:w="9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腐蚀性、不燃</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w:t>
            </w:r>
          </w:p>
        </w:tc>
      </w:tr>
      <w:tr>
        <w:trPr>
          <w:cantSplit w:val="true"/>
          <w:trHeight w:val="320" w:hRule="atLeast"/>
        </w:trPr>
        <w:tc>
          <w:tcPr>
            <w:tcW w:w="45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硫化氢</w:t>
            </w:r>
          </w:p>
        </w:tc>
        <w:tc>
          <w:tcPr>
            <w:tcW w:w="79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0.05</w:t>
            </w:r>
          </w:p>
        </w:tc>
        <w:tc>
          <w:tcPr>
            <w:tcW w:w="73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w:t>
            </w:r>
          </w:p>
        </w:tc>
        <w:tc>
          <w:tcPr>
            <w:tcW w:w="68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0.02</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-60.4</w:t>
            </w:r>
          </w:p>
        </w:tc>
        <w:tc>
          <w:tcPr>
            <w:tcW w:w="76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c>
          <w:tcPr>
            <w:tcW w:w="9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2026.5</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可燃、易挥发</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w:t>
            </w:r>
          </w:p>
        </w:tc>
      </w:tr>
    </w:tbl>
    <w:p>
      <w:pPr>
        <w:pStyle w:val="Heading2"/>
        <w:spacing w:line="500" w:lineRule="exact" w:before="0" w:after="0"/>
        <w:jc w:val="left"/>
        <w:outlineLvl w:val="1"/>
      </w:pPr>
      <w:bookmarkStart w:id="90018" w:name="_Toc90018"/>
      <w:r>
        <w:rPr>
          <w:rFonts w:ascii="Times New Roman" w:hAnsi="Times New Roman" w:eastAsia="宋体"/>
          <w:sz w:val="28"/>
          <w:b/>
        </w:rPr>
        <w:t>4.4.1 泄漏源强计算</w:t>
      </w:r>
      <w:bookmarkEnd w:id="90018"/>
    </w:p>
    <w:p>
      <w:pPr>
        <w:spacing w:line="500" w:lineRule="exact" w:before="0" w:after="0"/>
        <w:ind w:firstLineChars="200"/>
        <w:jc w:val="left"/>
      </w:pPr>
      <w:r>
        <w:rPr>
          <w:rFonts w:ascii="Times New Roman" w:hAnsi="Times New Roman" w:eastAsia="宋体"/>
          <w:sz w:val="24"/>
        </w:rPr>
        <w:t>从全部环境风险物质中筛选出 Q 值最大、对环境影响最大的 硫酸 作为泄漏源强计算对象，按液相小孔泄漏模型（柏努利方程）计算泄漏速率：</w:t>
      </w:r>
    </w:p>
    <w:p>
      <w:pPr>
        <w:spacing w:line="500" w:lineRule="exact" w:before="0" w:after="0"/>
        <w:jc w:val="center"/>
      </w:pPr>
      <w:r>
        <w:rPr>
          <w:rFonts w:ascii="宋体" w:hAnsi="宋体" w:eastAsia="宋体"/>
          <w:sz w:val="21"/>
        </w:rPr>
        <w:t>Q = Cd·A·ρ·√(2·ΔP/ρ + 2gh)</w:t>
      </w:r>
    </w:p>
    <w:p>
      <w:pPr>
        <w:keepNext w:val="true"/>
        <w:spacing w:line="500" w:lineRule="exact" w:before="0" w:after="0"/>
        <w:jc w:val="center"/>
      </w:pPr>
      <w:r>
        <w:rPr>
          <w:rFonts w:ascii="宋体" w:hAnsi="宋体" w:eastAsia="宋体"/>
          <w:sz w:val="24"/>
          <w:b/>
        </w:rPr>
        <w:t>表4-3 硫酸 液相泄漏源强计算表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2041"/>
        <w:gridCol w:w="1928"/>
        <w:gridCol w:w="4252"/>
      </w:tblGrid>
      <w:tr>
        <w:trPr>
          <w:cantSplit w:val="true"/>
          <w:trHeight w:val="320" w:hRule="atLeast"/>
          <w:tblHeader w:val="true"/>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计算项</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取值</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依据 / 说明</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泄漏物质</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 Q 值最大者（Q = 6.0000）</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最大存在量</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 t</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企业填报</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液相密度 ρ</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1830.0 kg/m³</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《MSDS 物质安全资料表大全》（2023.4）</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泄漏孔径 d</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 mm</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默认 10 mm（常见泄漏孔径），可在网页修改</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孔口面积 A</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7.854e-05 m²</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A = πd²/4</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流量系数 Cd</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0.61</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锐孔流，行业通行取值</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泄漏点以上液位高度 h</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1.50 m</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按容器容积与当量直径折算（充装系数 0.85）</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孔口流速 v</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5.430 m/s</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v = √(2ΔP/ρ + 2gh)</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泄漏速率 Q</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0.4760 kg/s</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 = Cd·A·ρ·v</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泄漏持续时间 t</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900 s（15.0 min）</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取设计堵漏时间 15 min 与物料泄完时间的较小值</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按堵漏时间的泄漏总量</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428.4 kg</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Q×t，且不超过最大存在量</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按堵漏时间的泄漏体积</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0.234 m³</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泄漏总量 ÷ 液相密度</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最不利释放量（物料全部泄漏）</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60000.0 kg</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按容器内物料全部泄漏考虑，用于池火与蒸气云爆炸情景</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最不利泄漏体积</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32.787 m³</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最大存在量 ÷ 液相密度</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物料全部泄完所需时间</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126040 s</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最大存在量 ÷ 泄漏速率</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最不利液池面积</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300.0 m²</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 min(泄漏体积/液池厚度 0.01 m, 围堰面积)</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最不利等效液池半径</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9.77 m</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r = √(A/π)</w:t>
            </w:r>
          </w:p>
        </w:tc>
      </w:tr>
    </w:tbl>
    <w:p>
      <w:pPr>
        <w:pStyle w:val="Heading2"/>
        <w:spacing w:line="500" w:lineRule="exact" w:before="0" w:after="0"/>
        <w:jc w:val="left"/>
        <w:outlineLvl w:val="1"/>
      </w:pPr>
      <w:bookmarkStart w:id="90019" w:name="_Toc90019"/>
      <w:r>
        <w:rPr>
          <w:rFonts w:ascii="Times New Roman" w:hAnsi="Times New Roman" w:eastAsia="宋体"/>
          <w:sz w:val="28"/>
          <w:b/>
        </w:rPr>
        <w:t>4.4.2 蒸发（气化）源强计算</w:t>
      </w:r>
      <w:bookmarkEnd w:id="90019"/>
    </w:p>
    <w:p>
      <w:pPr>
        <w:spacing w:line="500" w:lineRule="exact" w:before="0" w:after="0"/>
        <w:ind w:firstLineChars="200"/>
        <w:jc w:val="left"/>
      </w:pPr>
      <w:r>
        <w:rPr>
          <w:rFonts w:ascii="Times New Roman" w:hAnsi="Times New Roman" w:eastAsia="宋体"/>
          <w:sz w:val="24"/>
        </w:rPr>
        <w:t>泄漏到地面的液体在环境温度下持续蒸发。蒸发速率按质量蒸发（传质）公式计算，分别取 D 类（中性）与 F 类（最不利）大气稳定度：</w:t>
      </w:r>
    </w:p>
    <w:p>
      <w:pPr>
        <w:keepNext w:val="true"/>
        <w:spacing w:line="500" w:lineRule="exact" w:before="0" w:after="0"/>
        <w:jc w:val="center"/>
      </w:pPr>
      <w:r>
        <w:rPr>
          <w:rFonts w:ascii="宋体" w:hAnsi="宋体" w:eastAsia="宋体"/>
          <w:sz w:val="24"/>
          <w:b/>
        </w:rPr>
        <w:t>表4-4 硫酸 泄漏液池蒸发源强计算表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2041"/>
        <w:gridCol w:w="1928"/>
        <w:gridCol w:w="4252"/>
      </w:tblGrid>
      <w:tr>
        <w:trPr>
          <w:cantSplit w:val="true"/>
          <w:trHeight w:val="320" w:hRule="atLeast"/>
          <w:tblHeader w:val="true"/>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计算项</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取值</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依据 / 说明</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最不利液池面积 A</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300.0 m²</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 min(泄漏体积/液池厚度 0.01 m, 围堰面积)</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最不利等效液池半径 r</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9.77 m</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r = √(A/π)</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 p</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0.13 kPa</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《MSDS 物质安全资料表大全》（2023.4）</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 M</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98.08</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《MSDS 物质安全资料表大全》（2023.4）</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质量蒸发速率（D 类）</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0.00245 kg/s</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Q₃ = a·p·M/(R·T₀)·u^((2−n)/(2+n))·r^((4+n)/(2+n))</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质量蒸发速率（F 类）</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0.00260 kg/s</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最不利稳定度，用于大气扩散预测</w:t>
            </w:r>
          </w:p>
        </w:tc>
      </w:tr>
    </w:tbl>
    <w:p>
      <w:pPr>
        <w:pStyle w:val="Heading2"/>
        <w:spacing w:line="500" w:lineRule="exact" w:before="0" w:after="0"/>
        <w:jc w:val="left"/>
        <w:outlineLvl w:val="1"/>
      </w:pPr>
      <w:bookmarkStart w:id="90020" w:name="_Toc90020"/>
      <w:r>
        <w:rPr>
          <w:rFonts w:ascii="Times New Roman" w:hAnsi="Times New Roman" w:eastAsia="宋体"/>
          <w:sz w:val="28"/>
          <w:b/>
        </w:rPr>
        <w:t>4.4.3 有毒有害气体扩散影响预测</w:t>
      </w:r>
      <w:bookmarkEnd w:id="90020"/>
    </w:p>
    <w:p>
      <w:pPr>
        <w:spacing w:line="500" w:lineRule="exact" w:before="0" w:after="0"/>
        <w:ind w:firstLineChars="200"/>
        <w:jc w:val="left"/>
      </w:pPr>
      <w:r>
        <w:rPr>
          <w:rFonts w:ascii="Times New Roman" w:hAnsi="Times New Roman" w:eastAsia="宋体"/>
          <w:sz w:val="24"/>
        </w:rPr>
        <w:t>以 硫酸 泄漏后蒸发形成的蒸气为预测对象，采用高斯烟羽模型计算地面轴线浓度；扩散参数取 Briggs 开阔乡村公式，风速取 1.5 m/s，分别计算 D 类（中性）与 F 类（最不利）稳定度：</w:t>
      </w:r>
    </w:p>
    <w:p>
      <w:pPr>
        <w:spacing w:line="500" w:lineRule="exact" w:before="0" w:after="0"/>
        <w:jc w:val="center"/>
      </w:pPr>
      <w:r>
        <w:rPr>
          <w:rFonts w:ascii="宋体" w:hAnsi="宋体" w:eastAsia="宋体"/>
          <w:sz w:val="21"/>
        </w:rPr>
        <w:t>C(x,0,0) = Q/(π·u·σy·σz)·exp[−H²/(2σz²)]</w:t>
      </w:r>
    </w:p>
    <w:p>
      <w:pPr>
        <w:keepNext w:val="true"/>
        <w:spacing w:line="500" w:lineRule="exact" w:before="0" w:after="0"/>
        <w:jc w:val="center"/>
      </w:pPr>
      <w:r>
        <w:rPr>
          <w:rFonts w:ascii="宋体" w:hAnsi="宋体" w:eastAsia="宋体"/>
          <w:sz w:val="24"/>
          <w:b/>
        </w:rPr>
        <w:t>表4-5 硫酸 泄漏下风向地面轴线浓度预测表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247"/>
        <w:gridCol w:w="1814"/>
        <w:gridCol w:w="1814"/>
        <w:gridCol w:w="1474"/>
        <w:gridCol w:w="1871"/>
      </w:tblGrid>
      <w:tr>
        <w:trPr>
          <w:cantSplit w:val="true"/>
          <w:trHeight w:val="320" w:hRule="atLeast"/>
          <w:tblHeader w:val="true"/>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下风向距离(m)</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D 类浓度(mg/m³)</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F 类浓度(mg/m³)</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是否超 LC₅₀</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是否超车间允许浓度</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12.4</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89.31</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是</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3.312</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23.09</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是</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300</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1.562</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10.6</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是</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0.6238</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4.067</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是</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0.1908</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1.176</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0.06301</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0.3781</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3000</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0.03418</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0.2077</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5000</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0.01643</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0.1057</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否</w:t>
            </w:r>
          </w:p>
        </w:tc>
      </w:tr>
    </w:tbl>
    <w:p>
      <w:pPr>
        <w:keepNext w:val="true"/>
        <w:spacing w:line="500" w:lineRule="exact" w:before="0" w:after="0"/>
        <w:jc w:val="center"/>
      </w:pPr>
      <w:r>
        <w:rPr>
          <w:rFonts w:ascii="宋体" w:hAnsi="宋体" w:eastAsia="宋体"/>
          <w:sz w:val="24"/>
          <w:b/>
        </w:rPr>
        <w:t>表4-6 预测用毒性阈值取值表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2608"/>
        <w:gridCol w:w="1928"/>
        <w:gridCol w:w="3686"/>
      </w:tblGrid>
      <w:tr>
        <w:trPr>
          <w:cantSplit w:val="true"/>
          <w:trHeight w:val="320" w:hRule="atLeast"/>
          <w:tblHeader w:val="true"/>
        </w:trPr>
        <w:tc>
          <w:tcPr>
            <w:tcW w:w="260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阈值</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取值</w:t>
            </w:r>
          </w:p>
        </w:tc>
        <w:tc>
          <w:tcPr>
            <w:tcW w:w="368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来源</w:t>
            </w:r>
          </w:p>
        </w:tc>
      </w:tr>
      <w:tr>
        <w:trPr>
          <w:cantSplit w:val="true"/>
          <w:trHeight w:val="320" w:hRule="atLeast"/>
        </w:trPr>
        <w:tc>
          <w:tcPr>
            <w:tcW w:w="260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LC₅₀（大鼠吸入，4 h）</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510 mg/m³</w:t>
            </w:r>
          </w:p>
        </w:tc>
        <w:tc>
          <w:tcPr>
            <w:tcW w:w="368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物性库收录的急性毒性数据</w:t>
            </w:r>
          </w:p>
        </w:tc>
      </w:tr>
      <w:tr>
        <w:trPr>
          <w:cantSplit w:val="true"/>
          <w:trHeight w:val="320" w:hRule="atLeast"/>
        </w:trPr>
        <w:tc>
          <w:tcPr>
            <w:tcW w:w="260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车间最高允许浓度（MAC）</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 mg/m³</w:t>
            </w:r>
          </w:p>
        </w:tc>
        <w:tc>
          <w:tcPr>
            <w:tcW w:w="368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GBZ 2.1-2019 及物性库收录值</w:t>
            </w:r>
          </w:p>
        </w:tc>
      </w:tr>
    </w:tbl>
    <w:p>
      <w:pPr>
        <w:spacing w:line="500" w:lineRule="exact" w:before="0" w:after="0"/>
        <w:ind w:firstLineChars="200"/>
        <w:jc w:val="left"/>
      </w:pPr>
      <w:r>
        <w:rPr>
          <w:rFonts w:ascii="Times New Roman" w:hAnsi="Times New Roman" w:eastAsia="宋体"/>
          <w:sz w:val="24"/>
        </w:rPr>
        <w:t>由上表可知，硫酸 泄漏并在 F 类稳定度、1.5 m/s 风速条件下扩散时，LC₅₀ 浓度线约在 50 m 处；车间最高允许浓度线约在 740 m 处。该距离即现场警戒与人员疏散的参考下限，实际警戒范围应结合地形、建筑物阻挡与风向变化适当外扩。</w:t>
      </w:r>
    </w:p>
    <w:p>
      <w:pPr>
        <w:pStyle w:val="Heading2"/>
        <w:spacing w:line="500" w:lineRule="exact" w:before="0" w:after="0"/>
        <w:jc w:val="left"/>
        <w:outlineLvl w:val="1"/>
      </w:pPr>
      <w:bookmarkStart w:id="90021" w:name="_Toc90021"/>
      <w:r>
        <w:rPr>
          <w:rFonts w:ascii="Times New Roman" w:hAnsi="Times New Roman" w:eastAsia="宋体"/>
          <w:sz w:val="28"/>
          <w:b/>
        </w:rPr>
        <w:t>4.4.4 火灾热辐射影响预测</w:t>
      </w:r>
      <w:bookmarkEnd w:id="90021"/>
    </w:p>
    <w:p>
      <w:pPr>
        <w:spacing w:line="500" w:lineRule="exact" w:before="0" w:after="0"/>
        <w:ind w:firstLineChars="200"/>
        <w:jc w:val="left"/>
      </w:pPr>
      <w:r>
        <w:rPr>
          <w:rFonts w:ascii="Times New Roman" w:hAnsi="Times New Roman" w:eastAsia="宋体"/>
          <w:sz w:val="24"/>
        </w:rPr>
        <w:t>甲醇 泄漏后若遇火源引燃，将在液池表面形成池火。燃烧速率按「辐射热」关系式估算，火焰高度按 Thomas 公式计算，热辐射通量按点源模型计算：</w:t>
      </w:r>
    </w:p>
    <w:p>
      <w:pPr>
        <w:spacing w:line="500" w:lineRule="exact" w:before="0" w:after="0"/>
        <w:jc w:val="center"/>
      </w:pPr>
      <w:r>
        <w:rPr>
          <w:rFonts w:ascii="宋体" w:hAnsi="宋体" w:eastAsia="宋体"/>
          <w:sz w:val="21"/>
        </w:rPr>
        <w:t>m″ = 0.001·Hc / [Cp·(Tb−T0) + Hv]；H = 42·D·(m″/(ρa·√(gD)))^0.61；q = τ·f·m″·A·Hc / (4π·x²)</w:t>
      </w:r>
    </w:p>
    <w:p>
      <w:pPr>
        <w:keepNext w:val="true"/>
        <w:spacing w:line="500" w:lineRule="exact" w:before="0" w:after="0"/>
        <w:jc w:val="center"/>
      </w:pPr>
      <w:r>
        <w:rPr>
          <w:rFonts w:ascii="宋体" w:hAnsi="宋体" w:eastAsia="宋体"/>
          <w:sz w:val="24"/>
          <w:b/>
        </w:rPr>
        <w:t>表4-7 甲醇 池火热辐射源强计算表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2041"/>
        <w:gridCol w:w="1928"/>
        <w:gridCol w:w="4252"/>
      </w:tblGrid>
      <w:tr>
        <w:trPr>
          <w:cantSplit w:val="true"/>
          <w:trHeight w:val="320" w:hRule="atLeast"/>
          <w:tblHeader w:val="true"/>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计算项</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取值</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依据 / 说明</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泄漏物质</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取可燃物质中最大存在量者</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可燃物质量</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20000.0 kg</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按最不利释放量（容器内物料全部泄漏）</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燃烧热 Hc</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22690 kJ/kg</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《MSDS 物质安全资料表大全》（2023.4）；Hc(kJ/kg) = Hc(kJ/mol)×1000 ÷ 分子量</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汽化潜热 Hv</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1100 kJ/kg</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《化学工程手册》及公开物性数据（汽化潜热 / 液体比热 / 燃烧热通行取值）</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液体比热 Cp</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2.50 kJ/(kg·K)</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《化学工程手册》及公开物性数据（汽化潜热 / 液体比热 / 燃烧热通行取值）</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 Tb</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64.8 ℃</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物性库收录值</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环境温度 T₀</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25.0 ℃</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用户填报</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燃烧速率 m″</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0.01892 kg/(m²·s)</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m″ = 0.001·Hc/[Cp(Tb−T0)+Hv]</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有效燃烧面积 A</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300.0 m²</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 min(泄漏体积/液池厚度 0.01 m, 围堰面积)</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等效池直径 D</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19.5 m</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D = √(4A/π)</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火焰高度 H</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12.6 m</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Thomas 公式</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总热释放速率 Q</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128767 kW</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 = m″·A·Hc</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热辐射系数 f / 大气透过率 τ</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0.30 / 0.90</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烃类池火通行取值</w:t>
            </w:r>
          </w:p>
        </w:tc>
      </w:tr>
    </w:tbl>
    <w:p>
      <w:pPr>
        <w:keepNext w:val="true"/>
        <w:spacing w:line="500" w:lineRule="exact" w:before="0" w:after="0"/>
        <w:jc w:val="center"/>
      </w:pPr>
      <w:r>
        <w:rPr>
          <w:rFonts w:ascii="宋体" w:hAnsi="宋体" w:eastAsia="宋体"/>
          <w:sz w:val="24"/>
          <w:b/>
        </w:rPr>
        <w:t>表4-8 池火热辐射影响距离表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701"/>
        <w:gridCol w:w="3062"/>
        <w:gridCol w:w="1361"/>
        <w:gridCol w:w="2098"/>
      </w:tblGrid>
      <w:tr>
        <w:trPr>
          <w:cantSplit w:val="true"/>
          <w:trHeight w:val="320" w:hRule="atLeast"/>
          <w:tblHeader w:val="true"/>
        </w:trPr>
        <w:tc>
          <w:tcPr>
            <w:tcW w:w="170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热辐射通量(kW/m²)</w:t>
            </w:r>
          </w:p>
        </w:tc>
        <w:tc>
          <w:tcPr>
            <w:tcW w:w="30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危害特征</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影响距离(m)</w:t>
            </w:r>
          </w:p>
        </w:tc>
        <w:tc>
          <w:tcPr>
            <w:tcW w:w="209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应急对策</w:t>
            </w:r>
          </w:p>
        </w:tc>
      </w:tr>
      <w:tr>
        <w:trPr>
          <w:cantSplit w:val="true"/>
          <w:trHeight w:val="320" w:hRule="atLeast"/>
        </w:trPr>
        <w:tc>
          <w:tcPr>
            <w:tcW w:w="170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w:t>
            </w:r>
          </w:p>
        </w:tc>
        <w:tc>
          <w:tcPr>
            <w:tcW w:w="30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人员 20 s 内无防护可耐受；木质结构长期暴露可引燃</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26.3</w:t>
            </w:r>
          </w:p>
        </w:tc>
        <w:tc>
          <w:tcPr>
            <w:tcW w:w="209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设置警戒线、限制无关人员进入</w:t>
            </w:r>
          </w:p>
        </w:tc>
      </w:tr>
      <w:tr>
        <w:trPr>
          <w:cantSplit w:val="true"/>
          <w:trHeight w:val="320" w:hRule="atLeast"/>
        </w:trPr>
        <w:tc>
          <w:tcPr>
            <w:tcW w:w="170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12.5</w:t>
            </w:r>
          </w:p>
        </w:tc>
        <w:tc>
          <w:tcPr>
            <w:tcW w:w="30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木材燃烧、塑料熔化；人员 1 min 内剧痛、二度烧伤</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14.9</w:t>
            </w:r>
          </w:p>
        </w:tc>
        <w:tc>
          <w:tcPr>
            <w:tcW w:w="209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组织周边人员疏散</w:t>
            </w:r>
          </w:p>
        </w:tc>
      </w:tr>
      <w:tr>
        <w:trPr>
          <w:cantSplit w:val="true"/>
          <w:trHeight w:val="320" w:hRule="atLeast"/>
        </w:trPr>
        <w:tc>
          <w:tcPr>
            <w:tcW w:w="170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25.0</w:t>
            </w:r>
          </w:p>
        </w:tc>
        <w:tc>
          <w:tcPr>
            <w:tcW w:w="306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人员 10 s 内严重烧伤；钢结构强度下降</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10.5</w:t>
            </w:r>
          </w:p>
        </w:tc>
        <w:tc>
          <w:tcPr>
            <w:tcW w:w="209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立即撤离并冷却相邻设备</w:t>
            </w:r>
          </w:p>
        </w:tc>
      </w:tr>
    </w:tbl>
    <w:p>
      <w:pPr>
        <w:spacing w:line="500" w:lineRule="exact" w:before="0" w:after="0"/>
        <w:ind w:firstLineChars="200"/>
        <w:jc w:val="left"/>
      </w:pPr>
      <w:r>
        <w:rPr>
          <w:rFonts w:ascii="Times New Roman" w:hAnsi="Times New Roman" w:eastAsia="宋体"/>
          <w:sz w:val="24"/>
        </w:rPr>
        <w:t>由上表可知，池火形成后 26.3 m 范围热辐射通量仍达 4 kW/m²，应对该范围设置警戒；14.9 m 范围内应组织人员疏散；10.5 m 范围内需持续冷却相邻设备与储罐，防止火势扩大。</w:t>
      </w:r>
    </w:p>
    <w:p>
      <w:pPr>
        <w:pStyle w:val="Heading2"/>
        <w:spacing w:line="500" w:lineRule="exact" w:before="0" w:after="0"/>
        <w:jc w:val="left"/>
        <w:outlineLvl w:val="1"/>
      </w:pPr>
      <w:bookmarkStart w:id="90022" w:name="_Toc90022"/>
      <w:r>
        <w:rPr>
          <w:rFonts w:ascii="Times New Roman" w:hAnsi="Times New Roman" w:eastAsia="宋体"/>
          <w:sz w:val="28"/>
          <w:b/>
        </w:rPr>
        <w:t>4.4.5 蒸气云爆炸影响预测</w:t>
      </w:r>
      <w:bookmarkEnd w:id="90022"/>
    </w:p>
    <w:p>
      <w:pPr>
        <w:spacing w:line="500" w:lineRule="exact" w:before="0" w:after="0"/>
        <w:ind w:firstLineChars="200"/>
        <w:jc w:val="left"/>
      </w:pPr>
      <w:r>
        <w:rPr>
          <w:rFonts w:ascii="Times New Roman" w:hAnsi="Times New Roman" w:eastAsia="宋体"/>
          <w:sz w:val="24"/>
        </w:rPr>
        <w:t>甲醇 泄漏后与空气混合形成蒸气云，遇点火源可能发生蒸气云爆炸。采用 TNT 当量法估算爆炸超压影响距离：</w:t>
      </w:r>
    </w:p>
    <w:p>
      <w:pPr>
        <w:spacing w:line="500" w:lineRule="exact" w:before="0" w:after="0"/>
        <w:jc w:val="center"/>
      </w:pPr>
      <w:r>
        <w:rPr>
          <w:rFonts w:ascii="宋体" w:hAnsi="宋体" w:eastAsia="宋体"/>
          <w:sz w:val="21"/>
        </w:rPr>
        <w:t>W(TNT) = Wf·Hc·z/H(TNT)；ΔP = 0.084/R̄ + 0.27/R̄² + 0.7/R̄³，R̄ = r/W(TNT)^(1/3)</w:t>
      </w:r>
    </w:p>
    <w:p>
      <w:pPr>
        <w:keepNext w:val="true"/>
        <w:spacing w:line="500" w:lineRule="exact" w:before="0" w:after="0"/>
        <w:jc w:val="center"/>
      </w:pPr>
      <w:r>
        <w:rPr>
          <w:rFonts w:ascii="宋体" w:hAnsi="宋体" w:eastAsia="宋体"/>
          <w:sz w:val="24"/>
          <w:b/>
        </w:rPr>
        <w:t>表4-9 蒸气云爆炸 TNT 当量计算表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2041"/>
        <w:gridCol w:w="1928"/>
        <w:gridCol w:w="4252"/>
      </w:tblGrid>
      <w:tr>
        <w:trPr>
          <w:cantSplit w:val="true"/>
          <w:trHeight w:val="320" w:hRule="atLeast"/>
          <w:tblHeader w:val="true"/>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计算项</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取值</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依据 / 说明</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爆炸性物质</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取蒸气云形成条件最充分者</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参与爆炸的物料量 Wf</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20000.0 kg</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按 4.4.1 最不利释放量（容器内物料全部泄漏）考虑</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燃烧热 Hc</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22690 kJ/kg</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《MSDS 物质安全资料表大全》（2023.4）；Hc(kJ/kg) = Hc(kJ/mol)×1000 ÷ 分子量</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TNT 当量系数 z</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0.04</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地面蒸气云爆炸通行取值</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TNT 爆热 H(TNT)</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4520 kJ/kg</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TNT 标准爆热</w:t>
            </w:r>
          </w:p>
        </w:tc>
      </w:tr>
      <w:tr>
        <w:trPr>
          <w:cantSplit w:val="true"/>
          <w:trHeight w:val="320" w:hRule="atLeast"/>
        </w:trPr>
        <w:tc>
          <w:tcPr>
            <w:tcW w:w="20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TNT 当量 W(TNT)</w:t>
            </w:r>
          </w:p>
        </w:tc>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4016.00 kg</w:t>
            </w:r>
          </w:p>
        </w:tc>
        <w:tc>
          <w:tcPr>
            <w:tcW w:w="42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Wf·Hc·z/H(TNT)</w:t>
            </w:r>
          </w:p>
        </w:tc>
      </w:tr>
    </w:tbl>
    <w:p>
      <w:pPr>
        <w:keepNext w:val="true"/>
        <w:spacing w:line="500" w:lineRule="exact" w:before="0" w:after="0"/>
        <w:jc w:val="center"/>
      </w:pPr>
      <w:r>
        <w:rPr>
          <w:rFonts w:ascii="宋体" w:hAnsi="宋体" w:eastAsia="宋体"/>
          <w:sz w:val="24"/>
          <w:b/>
        </w:rPr>
        <w:t>表4-10 蒸气云爆炸超压影响距离表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247"/>
        <w:gridCol w:w="3175"/>
        <w:gridCol w:w="1474"/>
        <w:gridCol w:w="2325"/>
      </w:tblGrid>
      <w:tr>
        <w:trPr>
          <w:cantSplit w:val="true"/>
          <w:trHeight w:val="320" w:hRule="atLeast"/>
          <w:tblHeader w:val="true"/>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超压(MPa)</w:t>
            </w:r>
          </w:p>
        </w:tc>
        <w:tc>
          <w:tcPr>
            <w:tcW w:w="31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破坏特征</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影响距离(m)</w:t>
            </w:r>
          </w:p>
        </w:tc>
        <w:tc>
          <w:tcPr>
            <w:tcW w:w="23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应急对策</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0.02</w:t>
            </w:r>
          </w:p>
        </w:tc>
        <w:tc>
          <w:tcPr>
            <w:tcW w:w="31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人员轻伤、门窗玻璃大部破碎、砖墙裂缝</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109.6</w:t>
            </w:r>
          </w:p>
        </w:tc>
        <w:tc>
          <w:tcPr>
            <w:tcW w:w="23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警戒范围下限</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0.03</w:t>
            </w:r>
          </w:p>
        </w:tc>
        <w:tc>
          <w:tcPr>
            <w:tcW w:w="31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人员重伤、结构中等破坏</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84.5</w:t>
            </w:r>
          </w:p>
        </w:tc>
        <w:tc>
          <w:tcPr>
            <w:tcW w:w="23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组织人员撤离</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0.05</w:t>
            </w:r>
          </w:p>
        </w:tc>
        <w:tc>
          <w:tcPr>
            <w:tcW w:w="31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人员内脏严重损伤、钢架结构破坏</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62.7</w:t>
            </w:r>
          </w:p>
        </w:tc>
        <w:tc>
          <w:tcPr>
            <w:tcW w:w="23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立即撤离并切断物料</w:t>
            </w:r>
          </w:p>
        </w:tc>
      </w:tr>
      <w:tr>
        <w:trPr>
          <w:cantSplit w:val="true"/>
          <w:trHeight w:val="320" w:hRule="atLeast"/>
        </w:trPr>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0.10</w:t>
            </w:r>
          </w:p>
        </w:tc>
        <w:tc>
          <w:tcPr>
            <w:tcW w:w="31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人员死亡、建筑物倒塌</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43.7</w:t>
            </w:r>
          </w:p>
        </w:tc>
        <w:tc>
          <w:tcPr>
            <w:tcW w:w="23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事故核心区</w:t>
            </w:r>
          </w:p>
        </w:tc>
      </w:tr>
    </w:tbl>
    <w:p>
      <w:pPr>
        <w:spacing w:line="500" w:lineRule="exact" w:before="0" w:after="0"/>
        <w:ind w:firstLineChars="200"/>
        <w:jc w:val="left"/>
      </w:pPr>
      <w:r>
        <w:rPr>
          <w:rFonts w:ascii="Times New Roman" w:hAnsi="Times New Roman" w:eastAsia="宋体"/>
          <w:sz w:val="24"/>
        </w:rPr>
        <w:t>由上表可知，一旦发生蒸气云爆炸，62.7 m 范围内超压达 0.05 MPa，将造成人员内脏严重损伤和钢架结构破坏，该范围应作为紧急撤离区；109.6 m 范围内超压达 0.02 MPa，应作为警戒范围下限。</w:t>
      </w:r>
    </w:p>
    <w:p>
      <w:pPr>
        <w:pStyle w:val="Heading2"/>
        <w:spacing w:line="500" w:lineRule="exact" w:before="0" w:after="0"/>
        <w:jc w:val="left"/>
        <w:outlineLvl w:val="1"/>
      </w:pPr>
      <w:bookmarkStart w:id="90023" w:name="_Toc90023"/>
      <w:r>
        <w:rPr>
          <w:rFonts w:ascii="Times New Roman" w:hAnsi="Times New Roman" w:eastAsia="宋体"/>
          <w:sz w:val="28"/>
          <w:b/>
        </w:rPr>
        <w:t>4.4.6 事故废水量与应急事故池容积核算</w:t>
      </w:r>
      <w:bookmarkEnd w:id="90023"/>
    </w:p>
    <w:p>
      <w:pPr>
        <w:spacing w:line="500" w:lineRule="exact" w:before="0" w:after="0"/>
        <w:ind w:firstLineChars="200"/>
        <w:jc w:val="left"/>
      </w:pPr>
      <w:r>
        <w:rPr>
          <w:rFonts w:ascii="Times New Roman" w:hAnsi="Times New Roman" w:eastAsia="宋体"/>
          <w:sz w:val="24"/>
        </w:rPr>
        <w:t>事故状态下产生的泄漏物料、消防废水和降雨径流若不能有效收集，将随雨水管网进入外环境。依据《化工建设项目环境保护设计规范》（GB 50483-2009）和《事故状态下水体污染的预防与控制技术要求》（Q/SY 1190-2009）核算所需事故应急池容积：</w:t>
      </w:r>
    </w:p>
    <w:p>
      <w:pPr>
        <w:spacing w:line="500" w:lineRule="exact" w:before="0" w:after="0"/>
        <w:jc w:val="center"/>
      </w:pPr>
      <w:r>
        <w:rPr>
          <w:rFonts w:ascii="宋体" w:hAnsi="宋体" w:eastAsia="宋体"/>
          <w:sz w:val="21"/>
        </w:rPr>
        <w:t>V总 =（V₁ + V₂ + V雨水）max − V₃；  V雨水 = 10·q·F</w:t>
      </w:r>
    </w:p>
    <w:p>
      <w:pPr>
        <w:keepNext w:val="true"/>
        <w:spacing w:line="500" w:lineRule="exact" w:before="0" w:after="0"/>
        <w:jc w:val="center"/>
      </w:pPr>
      <w:r>
        <w:rPr>
          <w:rFonts w:ascii="宋体" w:hAnsi="宋体" w:eastAsia="宋体"/>
          <w:sz w:val="24"/>
          <w:b/>
        </w:rPr>
        <w:t>表4-11 应急事故池容积核算表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2835"/>
        <w:gridCol w:w="1814"/>
        <w:gridCol w:w="3572"/>
      </w:tblGrid>
      <w:tr>
        <w:trPr>
          <w:cantSplit w:val="true"/>
          <w:trHeight w:val="320" w:hRule="atLeast"/>
          <w:tblHeader w:val="true"/>
        </w:trPr>
        <w:tc>
          <w:tcPr>
            <w:tcW w:w="283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计算项</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取值</w:t>
            </w:r>
          </w:p>
        </w:tc>
        <w:tc>
          <w:tcPr>
            <w:tcW w:w="357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依据 / 说明</w:t>
            </w:r>
          </w:p>
        </w:tc>
      </w:tr>
      <w:tr>
        <w:trPr>
          <w:cantSplit w:val="true"/>
          <w:trHeight w:val="320" w:hRule="atLeast"/>
        </w:trPr>
        <w:tc>
          <w:tcPr>
            <w:tcW w:w="283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V₁ 最大一个容器（装置）或储罐的物料贮存量</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50.00 m³</w:t>
            </w:r>
          </w:p>
        </w:tc>
        <w:tc>
          <w:tcPr>
            <w:tcW w:w="357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按最大单体容器容积取值</w:t>
            </w:r>
          </w:p>
        </w:tc>
      </w:tr>
      <w:tr>
        <w:trPr>
          <w:cantSplit w:val="true"/>
          <w:trHeight w:val="320" w:hRule="atLeast"/>
        </w:trPr>
        <w:tc>
          <w:tcPr>
            <w:tcW w:w="283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V₂ 最大消防用水量</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108.00 m³</w:t>
            </w:r>
          </w:p>
        </w:tc>
        <w:tc>
          <w:tcPr>
            <w:tcW w:w="357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按 20.0 L/s、火灾延续时间 1.5 h 计；用户填报</w:t>
            </w:r>
          </w:p>
        </w:tc>
      </w:tr>
      <w:tr>
        <w:trPr>
          <w:cantSplit w:val="true"/>
          <w:trHeight w:val="320" w:hRule="atLeast"/>
        </w:trPr>
        <w:tc>
          <w:tcPr>
            <w:tcW w:w="283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降雨强度 q</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7.78 mm/d</w:t>
            </w:r>
          </w:p>
        </w:tc>
        <w:tc>
          <w:tcPr>
            <w:tcW w:w="357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 = 年平均降雨量 ÷ 年降雨天数</w:t>
            </w:r>
          </w:p>
        </w:tc>
      </w:tr>
      <w:tr>
        <w:trPr>
          <w:cantSplit w:val="true"/>
          <w:trHeight w:val="320" w:hRule="atLeast"/>
        </w:trPr>
        <w:tc>
          <w:tcPr>
            <w:tcW w:w="283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汇水面积 F</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0.800 hm²</w:t>
            </w:r>
          </w:p>
        </w:tc>
        <w:tc>
          <w:tcPr>
            <w:tcW w:w="357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用户填报</w:t>
            </w:r>
          </w:p>
        </w:tc>
      </w:tr>
      <w:tr>
        <w:trPr>
          <w:cantSplit w:val="true"/>
          <w:trHeight w:val="320" w:hRule="atLeast"/>
        </w:trPr>
        <w:tc>
          <w:tcPr>
            <w:tcW w:w="283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V雨水 事故时可能进入收集系统的最大降雨量</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62.22 m³</w:t>
            </w:r>
          </w:p>
        </w:tc>
        <w:tc>
          <w:tcPr>
            <w:tcW w:w="357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V雨水 = 10·q·F</w:t>
            </w:r>
          </w:p>
        </w:tc>
      </w:tr>
      <w:tr>
        <w:trPr>
          <w:cantSplit w:val="true"/>
          <w:trHeight w:val="320" w:hRule="atLeast"/>
        </w:trPr>
        <w:tc>
          <w:tcPr>
            <w:tcW w:w="283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V₃ 围堰、防火堤内净空容量与导排管道容量之和</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120.00 m³</w:t>
            </w:r>
          </w:p>
        </w:tc>
        <w:tc>
          <w:tcPr>
            <w:tcW w:w="357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用户填报</w:t>
            </w:r>
          </w:p>
        </w:tc>
      </w:tr>
      <w:tr>
        <w:trPr>
          <w:cantSplit w:val="true"/>
          <w:trHeight w:val="320" w:hRule="atLeast"/>
        </w:trPr>
        <w:tc>
          <w:tcPr>
            <w:tcW w:w="283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V总 应急事故池最小容积</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100.22 m³</w:t>
            </w:r>
          </w:p>
        </w:tc>
        <w:tc>
          <w:tcPr>
            <w:tcW w:w="357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V总 =（V₁+V₂+V雨水）max − V₃</w:t>
            </w:r>
          </w:p>
        </w:tc>
      </w:tr>
      <w:tr>
        <w:trPr>
          <w:cantSplit w:val="true"/>
          <w:trHeight w:val="320" w:hRule="atLeast"/>
        </w:trPr>
        <w:tc>
          <w:tcPr>
            <w:tcW w:w="283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建议建设容积</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110 m³</w:t>
            </w:r>
          </w:p>
        </w:tc>
        <w:tc>
          <w:tcPr>
            <w:tcW w:w="357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按 10 m³ 向上取整</w:t>
            </w:r>
          </w:p>
        </w:tc>
      </w:tr>
    </w:tbl>
    <w:p>
      <w:pPr>
        <w:pStyle w:val="Heading2"/>
        <w:spacing w:line="500" w:lineRule="exact" w:before="0" w:after="0"/>
        <w:jc w:val="left"/>
        <w:outlineLvl w:val="1"/>
      </w:pPr>
      <w:bookmarkStart w:id="90024" w:name="_Toc90024"/>
      <w:r>
        <w:rPr>
          <w:rFonts w:ascii="Times New Roman" w:hAnsi="Times New Roman" w:eastAsia="宋体"/>
          <w:sz w:val="28"/>
          <w:b/>
        </w:rPr>
        <w:t>4.5 释放环境风险物质的扩散途径、涉及环境风险防控与应急措施、应急资源情况分析</w:t>
      </w:r>
      <w:bookmarkEnd w:id="90024"/>
    </w:p>
    <w:p>
      <w:pPr>
        <w:spacing w:line="500" w:lineRule="exact" w:before="0" w:after="0"/>
        <w:ind w:firstLineChars="200"/>
        <w:jc w:val="left"/>
      </w:pPr>
      <w:r>
        <w:rPr>
          <w:rFonts w:ascii="Times New Roman" w:hAnsi="Times New Roman" w:eastAsia="宋体"/>
          <w:sz w:val="24"/>
        </w:rPr>
        <w:t>针对储罐区硫酸、盐酸、甲醇泄漏情景，发现人立即报警并切断相关发料泵与装卸鹤管，关闭事故水总排口切换阀，将泄漏物导入事故应急池；抢险救援组刘某某组织人员穿戴防酸碱防护服、化学防护手套、护目镜，使用堵漏胶、堵漏夹具、木楔实施堵漏，用沙袋围堵、吸油毡与吸油围栏拦截，酸碱中和药剂（石灰、碳酸钠）用于中和酸性泄漏物，应急转运桶收集废液后交有资质单位处置。针对甲醇池火与蒸气云爆炸情景，立即切断物料来源，使用干粉灭火器、推车式干粉/泡沫灭火器灭火，按热辐射25 kW/m²等值线10.5 m撤离并冷却相邻设备，12.5 kW/m²距离14.9 m组织疏散，4 kW/m²距离26.3 m设置警戒；蒸气云爆炸0.05 MPa距离62.7 m内紧急撤离，0.03 MPa距离84.5 m组织撤离，0.02 MPa距离109.6 m设置警戒下限。针对废气处理设施异常，停止投料并抢修活性炭吸附+UV光解装置。消防废水及事故废水全部收集进入200立方米事故应急池，经厂内废水预处理设施处理后排入园区污水处理厂，严禁未经处理外排。人员防护按泄漏物质选用正压式空气呼吸器、过滤式防毒面具、防酸碱防护服、化学防护手套与护目镜，洗眼器、应急喷淋装置供接触人员冲洗，便携式气体检测仪、便携式VOCs检测仪用于现场检测。</w:t>
      </w:r>
    </w:p>
    <w:p>
      <w:pPr>
        <w:pStyle w:val="Heading2"/>
        <w:spacing w:line="500" w:lineRule="exact" w:before="0" w:after="0"/>
        <w:jc w:val="left"/>
        <w:outlineLvl w:val="1"/>
      </w:pPr>
      <w:bookmarkStart w:id="90025" w:name="_Toc90025"/>
      <w:r>
        <w:rPr>
          <w:rFonts w:ascii="Times New Roman" w:hAnsi="Times New Roman" w:eastAsia="宋体"/>
          <w:sz w:val="28"/>
          <w:b/>
        </w:rPr>
        <w:t>4.6 突发环境事件危害后果分析</w:t>
      </w:r>
      <w:bookmarkEnd w:id="90025"/>
    </w:p>
    <w:p>
      <w:pPr>
        <w:spacing w:line="500" w:lineRule="exact" w:before="0" w:after="0"/>
        <w:ind w:firstLineChars="200"/>
        <w:jc w:val="left"/>
      </w:pPr>
      <w:r>
        <w:rPr>
          <w:rFonts w:ascii="Times New Roman" w:hAnsi="Times New Roman" w:eastAsia="宋体"/>
          <w:sz w:val="24"/>
          <w:b/>
        </w:rPr>
        <w:t>（1）泄漏危害后果分析</w:t>
      </w:r>
    </w:p>
    <w:p>
      <w:pPr>
        <w:spacing w:line="500" w:lineRule="exact" w:before="0" w:after="0"/>
        <w:ind w:firstLineChars="200"/>
        <w:jc w:val="left"/>
      </w:pPr>
      <w:r>
        <w:rPr>
          <w:rFonts w:ascii="Times New Roman" w:hAnsi="Times New Roman" w:eastAsia="宋体"/>
          <w:sz w:val="24"/>
        </w:rPr>
        <w:t>风险物质泄漏将影响公司员工人身安全，并污染周围的大气环境、地表水环境、地下水环境及土壤环境。经预测，硫酸 泄漏后下风向 50 m 范围内浓度可超过 LC₅₀，该范围内人员存在急性中毒风险。下风向 740 m 范围内浓度超过车间最高允许浓度，应为现场作业人员配备相应个体防护用品。最不利情况下单次泄漏物料约 0.23 m³，若未及时拦截，将沿地面蔓延并可能通过雨水管网进入外环境。</w:t>
      </w:r>
    </w:p>
    <w:p>
      <w:pPr>
        <w:spacing w:line="500" w:lineRule="exact" w:before="0" w:after="0"/>
        <w:ind w:firstLineChars="200"/>
        <w:jc w:val="left"/>
      </w:pPr>
      <w:r>
        <w:rPr>
          <w:rFonts w:ascii="Times New Roman" w:hAnsi="Times New Roman" w:eastAsia="宋体"/>
          <w:sz w:val="24"/>
          <w:b/>
        </w:rPr>
        <w:t>（2）火灾危害后果分析</w:t>
      </w:r>
    </w:p>
    <w:p>
      <w:pPr>
        <w:spacing w:line="500" w:lineRule="exact" w:before="0" w:after="0"/>
        <w:ind w:firstLineChars="200"/>
        <w:jc w:val="left"/>
      </w:pPr>
      <w:r>
        <w:rPr>
          <w:rFonts w:ascii="Times New Roman" w:hAnsi="Times New Roman" w:eastAsia="宋体"/>
          <w:sz w:val="24"/>
        </w:rPr>
        <w:t>人为原因或意外因素造成 甲醇 泄漏并被引燃时，将形成池火，产生大量热辐射和烟尘。为扑灭火灾产生的消防废水若处置不当、不及时，可能直接排入受纳水体，污染周围地表水和地下水。经预测，池火热辐射 25 kW/m² 等值线距池中心约 10.5 m，12.5 kW/m² 约 14.9 m，4 kW/m² 约 26.3 m。</w:t>
      </w:r>
    </w:p>
    <w:p>
      <w:pPr>
        <w:spacing w:line="500" w:lineRule="exact" w:before="0" w:after="0"/>
        <w:ind w:firstLineChars="200"/>
        <w:jc w:val="left"/>
      </w:pPr>
      <w:r>
        <w:rPr>
          <w:rFonts w:ascii="Times New Roman" w:hAnsi="Times New Roman" w:eastAsia="宋体"/>
          <w:sz w:val="24"/>
        </w:rPr>
        <w:t>火灾、爆炸过程中产生的一氧化碳、二氧化碳及物料分解产物等次生/衍生大气污染物将随气流扩散，对下风向环境风险受体造成短期影响。</w:t>
      </w:r>
    </w:p>
    <w:p>
      <w:pPr>
        <w:spacing w:line="500" w:lineRule="exact" w:before="0" w:after="0"/>
        <w:ind w:firstLineChars="200"/>
        <w:jc w:val="left"/>
      </w:pPr>
      <w:r>
        <w:rPr>
          <w:rFonts w:ascii="Times New Roman" w:hAnsi="Times New Roman" w:eastAsia="宋体"/>
          <w:sz w:val="24"/>
          <w:b/>
        </w:rPr>
        <w:t>（3）爆炸危害后果分析</w:t>
      </w:r>
    </w:p>
    <w:p>
      <w:pPr>
        <w:spacing w:line="500" w:lineRule="exact" w:before="0" w:after="0"/>
        <w:ind w:firstLineChars="200"/>
        <w:jc w:val="left"/>
      </w:pPr>
      <w:r>
        <w:rPr>
          <w:rFonts w:ascii="Times New Roman" w:hAnsi="Times New Roman" w:eastAsia="宋体"/>
          <w:sz w:val="24"/>
        </w:rPr>
        <w:t>蒸气云爆炸除造成人员伤亡和建构筑物破坏外，还会使容器、管道同时破裂，引发二次泄漏与火灾。经预测，爆炸超压 0.05 MPa 等值线距爆炸中心约 62.7 m，0.02 MPa 约 109.6 m，该范围应作为人员紧急撤离与警戒的依据。</w:t>
      </w:r>
    </w:p>
    <w:p>
      <w:pPr>
        <w:spacing w:line="500" w:lineRule="exact" w:before="0" w:after="0"/>
        <w:ind w:firstLineChars="200"/>
        <w:jc w:val="left"/>
      </w:pPr>
      <w:r>
        <w:rPr>
          <w:rFonts w:ascii="Times New Roman" w:hAnsi="Times New Roman" w:eastAsia="宋体"/>
          <w:sz w:val="24"/>
          <w:b/>
        </w:rPr>
        <w:t>（4）事故废水危害后果分析</w:t>
      </w:r>
    </w:p>
    <w:p>
      <w:pPr>
        <w:spacing w:line="500" w:lineRule="exact" w:before="0" w:after="0"/>
        <w:ind w:firstLineChars="200"/>
        <w:jc w:val="left"/>
      </w:pPr>
      <w:r>
        <w:rPr>
          <w:rFonts w:ascii="Times New Roman" w:hAnsi="Times New Roman" w:eastAsia="宋体"/>
          <w:sz w:val="24"/>
        </w:rPr>
        <w:t>事故状态下同时进入收集系统的泄漏物料、消防废水和降雨径流合计约 220.22 m³，扣除围堰与导排管道净空容量 120.00 m³ 后，需事故应急池有效容积不小于 100.22 m³；容积不足时含污染物的废水将溢流进入地表水体，对下游水环境和土壤造成污染。</w:t>
      </w:r>
    </w:p>
    <w:p>
      <w:pPr>
        <w:spacing w:line="500" w:lineRule="exact" w:before="0" w:after="0"/>
        <w:ind w:firstLineChars="200"/>
        <w:jc w:val="left"/>
      </w:pPr>
      <w:r>
        <w:rPr>
          <w:rFonts w:ascii="Times New Roman" w:hAnsi="Times New Roman" w:eastAsia="宋体"/>
          <w:sz w:val="24"/>
          <w:b/>
        </w:rPr>
        <w:t>（5）运输过程泄漏事件危害后果分析</w:t>
      </w:r>
    </w:p>
    <w:p>
      <w:pPr>
        <w:spacing w:line="500" w:lineRule="exact" w:before="0" w:after="0"/>
        <w:ind w:firstLineChars="200"/>
        <w:jc w:val="left"/>
      </w:pPr>
      <w:r>
        <w:rPr>
          <w:rFonts w:ascii="Times New Roman" w:hAnsi="Times New Roman" w:eastAsia="宋体"/>
          <w:sz w:val="24"/>
        </w:rPr>
        <w:t>风险物质在厂外运输过程中若运输车辆发生交通事故导致泄漏，将影响道路交通及附近人员人身安全，并污染沿途土壤及地表水。运输应委托具有相应危险货物运输资质的单位承运，随车配备吸附材料、堵漏工具和个体防护用品。</w:t>
      </w:r>
    </w:p>
    <w:p>
      <w:pPr>
        <w:spacing w:line="500" w:lineRule="exact" w:before="0" w:after="0"/>
        <w:ind w:firstLineChars="200"/>
        <w:jc w:val="left"/>
      </w:pPr>
      <w:r>
        <w:rPr>
          <w:rFonts w:ascii="Times New Roman" w:hAnsi="Times New Roman" w:eastAsia="宋体"/>
          <w:sz w:val="24"/>
          <w:b/>
        </w:rPr>
        <w:t>（6）外界灾害事件危害后果分析</w:t>
      </w:r>
    </w:p>
    <w:p>
      <w:pPr>
        <w:spacing w:line="500" w:lineRule="exact" w:before="0" w:after="0"/>
        <w:ind w:firstLineChars="200"/>
        <w:jc w:val="left"/>
      </w:pPr>
      <w:r>
        <w:rPr>
          <w:rFonts w:ascii="Times New Roman" w:hAnsi="Times New Roman" w:eastAsia="宋体"/>
          <w:sz w:val="24"/>
        </w:rPr>
        <w:t>静电、雷击、暴雨、洪水、地震等外界灾害因素可能造成电力设施损坏、容器与管道破裂，进而引发泄漏、火灾、爆炸等次生事故。企业应落实防雷防静电接地、防洪排涝、抗震设防等措施，并在恶劣天气来临前停止高风险作业、加固设施、检查雨水切断阀状态。</w:t>
      </w:r>
    </w:p>
    <w:p>
      <w:pPr>
        <w:pStyle w:val="Heading2"/>
        <w:spacing w:line="500" w:lineRule="exact" w:before="0" w:after="0"/>
        <w:jc w:val="left"/>
        <w:outlineLvl w:val="1"/>
      </w:pPr>
      <w:bookmarkStart w:id="90026" w:name="_Toc90026"/>
      <w:r>
        <w:rPr>
          <w:rFonts w:ascii="Times New Roman" w:hAnsi="Times New Roman" w:eastAsia="宋体"/>
          <w:sz w:val="28"/>
          <w:b/>
        </w:rPr>
        <w:t>4.6.7 主要危险物质特性数据一览表</w:t>
      </w:r>
      <w:bookmarkEnd w:id="90026"/>
    </w:p>
    <w:p>
      <w:pPr>
        <w:keepNext w:val="true"/>
        <w:spacing w:line="500" w:lineRule="exact" w:before="0" w:after="0"/>
        <w:jc w:val="center"/>
      </w:pPr>
      <w:r>
        <w:rPr>
          <w:rFonts w:ascii="宋体" w:hAnsi="宋体" w:eastAsia="宋体"/>
          <w:sz w:val="24"/>
          <w:b/>
        </w:rPr>
        <w:t>表4-12 主要危险物质特性数据一览表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077"/>
        <w:gridCol w:w="1077"/>
        <w:gridCol w:w="1871"/>
        <w:gridCol w:w="4196"/>
      </w:tblGrid>
      <w:tr>
        <w:trPr>
          <w:cantSplit w:val="true"/>
          <w:trHeight w:val="320" w:hRule="atLeast"/>
          <w:tblHeader w:val="true"/>
        </w:trPr>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名称</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分类</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项目</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特征特性</w:t>
            </w:r>
          </w:p>
        </w:tc>
      </w:tr>
      <w:tr>
        <w:trPr>
          <w:cantSplit w:val="true"/>
          <w:trHeight w:val="320" w:hRule="atLeast"/>
        </w:trPr>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w:t>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HCl</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36.46</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7647-01-0</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1789</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危险货物编号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81013</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无色或微黄色发烟液体、有刺鼻的酸味。</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-114.8</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108.6</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1.26</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30.66（21℃)</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与水混溶，溶于碱液。</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能与一些活性金属粉末发生反应，放出氢气。遇氰化物能产生剧毒的氰化氢气体。 与碱发生中合反应，并放出大量的热。具有较强的腐蚀性。</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危险分类</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居住区最高允许浓度（mg/m³）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LC50（mg/m³）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LD50（mg/kg）</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中毒途径及健康危害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侵入途径：吸入、食入。健康危害：接触其蒸气或烟雾，可引起急性中毒，出现眼结膜炎，鼻及口腔粘膜有烧灼感， 鼻衄，齿龈出血，气管炎等。误服可引起消化道灼伤、溃疡形成，有可能引起胃穿孔、腹膜 炎等。眼和皮肤接触可致灼伤。慢性影响：长期接触，引起慢性鼻炎、慢性支气管炎、牙齿 酸蚀症及皮肤损害。</w:t>
            </w:r>
          </w:p>
        </w:tc>
      </w:tr>
      <w:tr>
        <w:trPr>
          <w:cantSplit w:val="true"/>
          <w:trHeight w:val="320" w:hRule="atLeast"/>
        </w:trPr>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w:t>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H2SO4</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98.08</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7664-93-9</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1830</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危险货物编号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81007</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纯品为无色透明油状液体，无臭。</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10.5</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330</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1.83</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3.4</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0.13（145.8℃)</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与水混溶。</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遇水大量放热，可发生沸溅。与易燃物（如苯）和可燃物（如糖、纤维素等）接 触会发生剧烈反应，甚至引起燃烧。遇电石、高氯酸盐、雷酸盐、硝酸盐、苦味酸盐、金属 粉末等猛烈反应，发生爆炸或燃烧。有强烈的腐蚀性和吸水性。</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危险分类</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急性中毒、刺激性/腐蚀性、窒息性</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居住区最高允许浓度（mg/m³）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LC50（mg/m³）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510，大鼠吸入</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LD50（mg/kg）</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2140，大鼠经口</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中毒途径及健康危害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侵入途径：吸入、食入。健康危害：对皮肤、粘膜等组织有强烈的刺激和腐蚀作用。蒸气或雾可引起结膜炎、结膜水 肿、角膜混浊，以致失明；引起呼吸道刺激，重者发生呼吸困难和肺水肿；高浓度引起喉痉 挛或声门水肿而窒息死亡。口服后引起消化道灼伤以致溃疡形成；严重者可能有胃穿孔、腹 膜炎、肾损害、休克等。皮肤灼伤轻者出现红斑，重者形成溃疡，愈合癍痕收缩影响功能。 溅入眼内可造成灼伤，甚至角膜穿孔、全眼炎以至失明。慢性影响： 牙齿酸蚀症、慢性支气 管炎、肺气肿和肺硬化。</w:t>
            </w:r>
          </w:p>
        </w:tc>
      </w:tr>
      <w:tr>
        <w:trPr>
          <w:cantSplit w:val="true"/>
          <w:trHeight w:val="320" w:hRule="atLeast"/>
        </w:trPr>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w:t>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CH4O</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32.04</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67-56-1</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1230</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危险货物编号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32058</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无色澄清液体，有刺激性气味。</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-97.8</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64.8</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0.79</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1.11</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13.33（21.2℃)</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溶于水，可混溶于醇、醚等多数有机溶剂。</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5.5 ~ 44</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易燃，其蒸气与空气可形成爆炸性混合物。遇明火、高热能引起燃烧爆炸。与氧 化剂接触发生化学反应或引起燃烧。在火场中，受热的容器有爆炸危险。其蒸气比空气重， 能在较低处扩散到相当远的地方，遇明火会引着回燃。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危险分类</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急性中毒、刺激性/腐蚀性</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居住区最高允许浓度（mg/m³）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LC50（mg/m³）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83776，大鼠吸入</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LD50（mg/kg）</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5628，大鼠经口</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中毒途径及健康危害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侵入途径：吸入、食入、经皮吸收。健康危害：对中枢神经系统有麻醉作用；对视神经和视网膜有特殊选择作用，引起病变；可 致代谢性酸中毒。急性中毒：短时大量吸入出现轻度眼及上呼吸道刺激症状（口服有胃肠道 刺激症状）；经一段时间潜伏期后出现头痛、头晕、乏力、眩晕、酒醉感、意识朦胧、谵妄， 甚至昏迷，视神经及视网膜病变，可有视物模糊、复视等，重者失明。代谢性酸中毒时出现 二氧化碳结合力下降、呼吸加速等。慢性影响：神经衰弱综合症，植物神经可能失调，粘膜 刺激，视力减退等。皮肤出现脱脂、皮炎等。</w:t>
            </w:r>
          </w:p>
        </w:tc>
      </w:tr>
      <w:tr>
        <w:trPr>
          <w:cantSplit w:val="true"/>
          <w:trHeight w:val="320" w:hRule="atLeast"/>
        </w:trPr>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二甲苯</w:t>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C8H10</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106.17</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108-38-3</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1307</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危险货物编号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33535</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无色透明液体，有类似甲苯的气味。</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-47.9</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139</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0.86</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3.66</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1.33（28.3℃)</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不溶于水，可混溶与乙醇、乙醚、氯仿等多数有机溶剂。</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 ~ 7</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易燃，其蒸气与空气可形成爆炸性混合物。遇明火、高热能引起燃烧爆炸。与氧化 剂能发生强烈反应。流速过快， 容易产生和积聚静电。其蒸气比空气重， 能在较低处扩散到相 当远的地方，遇明火会引着回燃。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危险分类</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急性中毒、刺激性/腐蚀性</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居住区最高允许浓度（mg/m³）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LC50（mg/m³）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LD50（mg/kg）</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5000，大鼠经口</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中毒途径及健康危害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侵入途径：吸入、食入、经皮吸收。 健康危害：对眼和上呼吸道有刺激作用，高浓度时对中枢神经系统有麻醉作用。急性中毒： 短期内吸入较高浓度本品可出现眼和上呼吸道明 显的刺激症状、眼结膜和咽充血、头晕、头痛、恶心、呕吐、胸闷、四肢无力、意识模糊、步 态蹒跚。重者可有躁动、抽搐或昏迷。有的有癔病样发作。慢性影响：长期接触有神经衰弱综 合征，女工有月经异常，工人常发生皮肤干燥、皲裂、皮炎。</w:t>
            </w:r>
          </w:p>
        </w:tc>
      </w:tr>
      <w:tr>
        <w:trPr>
          <w:cantSplit w:val="true"/>
          <w:trHeight w:val="320" w:hRule="atLeast"/>
        </w:trPr>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乙酸乙酯</w:t>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C4H8O2</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88.1</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141-78-6</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1173</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危险货物编号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32127</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无色澄清液体，有芳香气味，易挥发。</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-83.6</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77.2</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0.9</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3.04</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13.33（27℃)</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微溶于水、溶于醇、酮、醚氯仿等多数有机溶剂。</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 ~ 11.5</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易燃，其蒸气与空气可形成爆炸性混合物。遇明火、高热能引起燃烧爆炸。与氧化剂 接触会猛烈反应。其蒸气比空气重，能在较低处扩散到相当远的地方，遇明火会引着回燃。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危险分类</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刺激性/腐蚀性</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居住区最高允许浓度（mg/m³）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LC50（mg/m³）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LD50（mg/kg）</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中毒途径及健康危害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侵入途径：吸入、食入、经皮肤吸收。对眼、鼻、喉有刺激作用。高浓度吸入可引起进行性麻醉作用， 急性肺水肿，肝、肾损害。持续 大量吸入，可致呼吸麻痹。误服者可产生恶心、呕吐、腹泻等。有致敏作用，因血管神经障碍而 致牙龈出血；可致湿疹样皮炎。慢性影响： 长期接触本品有时可致角膜混浊、继发性贫血、白细 胞增多等。</w:t>
            </w:r>
          </w:p>
        </w:tc>
      </w:tr>
      <w:tr>
        <w:trPr>
          <w:cantSplit w:val="true"/>
          <w:trHeight w:val="320" w:hRule="atLeast"/>
        </w:trPr>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氨水</w:t>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NH4OH</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35.05</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1336-21-6</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2672</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危险货物编号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82503</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无色透明液体，有强烈的刺激性臭味。</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0.91</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1.59（20℃)</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溶于水、醇。</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易分解放出氨气，温度越高，分解速度越快，可形成爆炸性气氛。</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危险分类</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刺激性/腐蚀性</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居住区最高允许浓度（mg/m³）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中国 MAC（mg/m3 ） 未制定标准 前苏联 MAC（mg/m3 ） 未制定标准美国 TVL－TWA 未制定标准 美国 TLV－STEL 未制定标准</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LC50（mg/m³）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LD50（mg/kg）</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中毒途径及健康危害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侵入途径：吸入、食入。健康危害：吸入后对鼻、喉和肺有刺激性，引起咳嗽、气短和哮喘等；重者发生喉头水肿、 肺水肿及心、肝、肾损害。溅入眼内可造成灼伤。皮肤接触可致灼伤。口服灼伤消化道。慢性影响：反复低浓度接触，可引起支气管炎；可致皮炎。</w:t>
            </w:r>
          </w:p>
        </w:tc>
      </w:tr>
      <w:tr>
        <w:trPr>
          <w:cantSplit w:val="true"/>
          <w:trHeight w:val="320" w:hRule="atLeast"/>
        </w:trPr>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次氯酸钠</w:t>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NaClO</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74.44</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7681-52-9</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1791</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危险货物编号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83501</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微黄色溶液，有似氯气的气味。</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102.2</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溶于水。</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受高热分解产生有毒的腐蚀性烟气。具有腐蚀性。</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危险分类</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居住区最高允许浓度（mg/m³）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LC50（mg/m³）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LD50（mg/kg）</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中毒途径及健康危害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侵入途径：吸入、食入。健康危害：经常用手接触本品的工人，手掌大量出汗，指甲变薄，毛发脱落。本品有致敏作 用。本品放出的游离氯可能引起中毒。</w:t>
            </w:r>
          </w:p>
        </w:tc>
      </w:tr>
      <w:tr>
        <w:trPr>
          <w:cantSplit w:val="true"/>
          <w:trHeight w:val="320" w:hRule="atLeast"/>
        </w:trPr>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硫化氢</w:t>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H2S</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分子量</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34.08</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CAS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7783-06-4</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UN 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1053</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危险货物编号</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21043</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性状</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无色有恶臭气体。</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熔点（℃）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-85.5</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沸点（℃）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-60.4</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相对密度（水=1）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相对密度（空气=1）</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1.19</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饱和蒸汽压（kPa）</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2026.5（25.5℃)</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溶解性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溶于水、乙醇。</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燃烧性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闪点（℃）</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爆炸极限（%）</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 ~ 46</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理化学性质</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危险特性</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易燃，与空气混合能形成爆炸性混合物，遇明火、高热能引起燃烧爆炸。与浓硝 酸、发烟硝酸或其它强氧化剂剧烈反应，发生爆炸。气体比空气重，能在较低处扩散到相当 远的地方，遇明火会引起回燃。</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危险分类</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刺激性/腐蚀性</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居住区最高允许浓度（mg/m³）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车间最高允许浓度（mg/m³）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LC50（mg/m³）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618mg/m3（大鼠吸入）</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LD50（mg/kg）</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无资料</w:t>
            </w:r>
          </w:p>
        </w:tc>
      </w:tr>
      <w:tr>
        <w:trPr>
          <w:cantSplit w:val="true"/>
          <w:trHeight w:val="320" w:hRule="atLeast"/>
        </w:trPr>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077" w:type="dxa"/>
            <w:vMerge/>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毒性特征</w:t>
            </w:r>
          </w:p>
        </w:tc>
        <w:tc>
          <w:tcPr>
            <w:tcW w:w="187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中毒途径及健康危害</w:t>
            </w:r>
          </w:p>
        </w:tc>
        <w:tc>
          <w:tcPr>
            <w:tcW w:w="419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侵入途径：吸入。健康危害：本品是强烈的神经毒物，对粘膜有强烈刺激作用。急性中毒：短期内吸入高浓度 硫化氢后出现流泪、眼痛、眼内异物感、畏光、视物模糊、流涕、咽喉部灼热感、咳嗽、胸 闷、头痛、头晕、乏力、意识模糊等。部分患者可有心肌损害。重者可出现老水肿、肺水肿。 极高浓度（1000mg/m3 以上）时可在数秒钟内突然昏迷，呼吸和心跳骤停，发生闪电型死亡。 高浓度接触眼结膜发生水肿和结膜溃疡。</w:t>
            </w:r>
          </w:p>
        </w:tc>
      </w:tr>
    </w:tbl>
    <w:p>
      <w:pPr>
        <w:pStyle w:val="Heading1"/>
        <w:spacing w:line="500" w:lineRule="exact" w:before="0" w:after="0"/>
        <w:jc w:val="left"/>
        <w:outlineLvl w:val="0"/>
      </w:pPr>
      <w:bookmarkStart w:id="90027" w:name="_Toc90027"/>
      <w:r>
        <w:rPr>
          <w:rFonts w:ascii="Times New Roman" w:hAnsi="Times New Roman" w:eastAsia="宋体"/>
          <w:sz w:val="30"/>
          <w:b/>
        </w:rPr>
        <w:t>5 现有环境风险防控和应急措施差距分析</w:t>
      </w:r>
      <w:bookmarkEnd w:id="90027"/>
    </w:p>
    <w:p>
      <w:pPr>
        <w:pStyle w:val="Heading2"/>
        <w:spacing w:line="500" w:lineRule="exact" w:before="0" w:after="0"/>
        <w:jc w:val="left"/>
        <w:outlineLvl w:val="1"/>
      </w:pPr>
      <w:bookmarkStart w:id="90028" w:name="_Toc90028"/>
      <w:r>
        <w:rPr>
          <w:rFonts w:ascii="Times New Roman" w:hAnsi="Times New Roman" w:eastAsia="宋体"/>
          <w:sz w:val="28"/>
          <w:b/>
        </w:rPr>
        <w:t>5.1 环境风险管理制度</w:t>
      </w:r>
      <w:bookmarkEnd w:id="90028"/>
    </w:p>
    <w:p>
      <w:pPr>
        <w:spacing w:line="500" w:lineRule="exact" w:before="0" w:after="0"/>
        <w:ind w:firstLineChars="200"/>
        <w:jc w:val="left"/>
      </w:pPr>
      <w:r>
        <w:rPr>
          <w:rFonts w:ascii="Times New Roman" w:hAnsi="Times New Roman" w:eastAsia="宋体"/>
          <w:sz w:val="24"/>
        </w:rPr>
        <w:t>公司现有应急能力评估如下。组织与人员方面，已设立总指挥李某某、副总指挥王某某、应急办公室主任张某某，以及抢险救援组、警戒疏散组、医疗救护组、环境监测组、后勤保障组等，职责分工基本明确，但应急预案演练记录有待留存，岗位替补机制需进一步健全。装备与物资方面，应急物资库、应急器材柜、车间应急柜配备吸油毡200张、吸油围栏4条、防酸碱防护服6套、正压式空气呼吸器4套、过滤式防毒面具20套、化学防护手套及护目镜20套、堵漏胶及堵漏夹具2套、干粉灭火器40只、推车式灭火器6只、酸碱中和药剂2吨、便携式气体检测仪4台、便携式VOCs检测仪2台、应急照明及警示带10套、应急转运桶20个及沙袋200条、洗眼器及应急喷淋装置6处，物资种类与数量基本满足初期处置需求，但物资台账管理需进一步规范，定期检查与更新记录有待完善。监测能力方面，已明确泰安市某检测有限公司为监测机构，监测项目包括pH、COD、氨氮、总磷、氯化物、硫酸盐、非甲烷总烃、氯化氢、氨、颗粒物，监测点位覆盖厂区废水总排口、雨水总排口、事故应急池、废气排气筒及厂界下风向100米，监测频次为事故初期每1小时1次、事态稳定后每4小时1次，但企业自身快速监测能力有限，依赖外部机构响应时间。制度方面，已建有事故事故应急池（200立方米）、初期雨水收集池（120立方米）、事故水总排口切换阀等设施，但环境应急管理制度文本尚未健全，隐患排查与风险防控台账需进一步规范。总体而言，公司应急能力与重大环境风险等级处置需求之间尚存在差距，需在演练记录留存、物资台账管理、制度文本完善等方面持续改进。</w:t>
      </w:r>
    </w:p>
    <w:p>
      <w:pPr>
        <w:pStyle w:val="Heading2"/>
        <w:spacing w:line="500" w:lineRule="exact" w:before="0" w:after="0"/>
        <w:jc w:val="left"/>
        <w:outlineLvl w:val="1"/>
      </w:pPr>
      <w:bookmarkStart w:id="90029" w:name="_Toc90029"/>
      <w:r>
        <w:rPr>
          <w:rFonts w:ascii="Times New Roman" w:hAnsi="Times New Roman" w:eastAsia="宋体"/>
          <w:sz w:val="28"/>
          <w:b/>
        </w:rPr>
        <w:t>5.2 环境风险防控措施差距分析及建议</w:t>
      </w:r>
      <w:bookmarkEnd w:id="90029"/>
    </w:p>
    <w:p>
      <w:pPr>
        <w:spacing w:line="500" w:lineRule="exact" w:before="0" w:after="0"/>
        <w:ind w:firstLineChars="200"/>
        <w:jc w:val="left"/>
      </w:pPr>
      <w:r>
        <w:rPr>
          <w:rFonts w:ascii="Times New Roman" w:hAnsi="Times New Roman" w:eastAsia="宋体"/>
          <w:sz w:val="24"/>
        </w:rPr>
        <w:t>本项目环境风险防控与应急措施差距分析及整改建议见下表。</w:t>
      </w:r>
    </w:p>
    <w:p>
      <w:pPr>
        <w:keepNext w:val="true"/>
        <w:spacing w:line="500" w:lineRule="exact" w:before="0" w:after="0"/>
        <w:jc w:val="center"/>
      </w:pPr>
      <w:r>
        <w:rPr>
          <w:rFonts w:ascii="宋体" w:hAnsi="宋体" w:eastAsia="宋体"/>
          <w:sz w:val="24"/>
          <w:b/>
        </w:rPr>
        <w:t>表5-1 企业现有环境风险防控与应急措施差距分析及整改建议</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542"/>
        <w:gridCol w:w="2364"/>
        <w:gridCol w:w="1850"/>
        <w:gridCol w:w="2466"/>
      </w:tblGrid>
      <w:tr>
        <w:trPr>
          <w:cantSplit w:val="true"/>
          <w:trHeight w:val="320" w:hRule="atLeast"/>
          <w:tblHeader w:val="true"/>
        </w:trPr>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评估指标</w:t>
            </w:r>
          </w:p>
        </w:tc>
        <w:tc>
          <w:tcPr>
            <w:tcW w:w="23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现有风险防控措施</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不足之处</w:t>
            </w:r>
          </w:p>
        </w:tc>
        <w:tc>
          <w:tcPr>
            <w:tcW w:w="246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改进措施</w:t>
            </w:r>
          </w:p>
        </w:tc>
      </w:tr>
      <w:tr>
        <w:trPr>
          <w:cantSplit w:val="true"/>
          <w:trHeight w:val="320" w:hRule="atLeast"/>
        </w:trPr>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环境风险管理制度</w:t>
            </w:r>
          </w:p>
        </w:tc>
        <w:tc>
          <w:tcPr>
            <w:tcW w:w="23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已设置安环部并明确应急组织指挥体系，总指挥李某某、副总指挥王某某及各应急小组组长均已明确</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环境风险管理制度文本尚未健全，风险单元巡查与台账管理有待规范</w:t>
            </w:r>
          </w:p>
        </w:tc>
        <w:tc>
          <w:tcPr>
            <w:tcW w:w="246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由环境管理部门牵头修订环境风险管理制度，明确巡查频次、记录格式与考核要求，生产部门与设备管理部门配合落实</w:t>
            </w:r>
          </w:p>
        </w:tc>
      </w:tr>
      <w:tr>
        <w:trPr>
          <w:cantSplit w:val="true"/>
          <w:trHeight w:val="320" w:hRule="atLeast"/>
        </w:trPr>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风险单元防控</w:t>
            </w:r>
          </w:p>
        </w:tc>
        <w:tc>
          <w:tcPr>
            <w:tcW w:w="23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储罐区设置围堰及防火堤，配置可燃有毒气体泄漏报警装置与防雷防静电接地设施，废气经活性炭吸附+UV光解装置处理</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部分风险单元操作规程与巡检记录有待完善，设施维护保养台账需进一步规范</w:t>
            </w:r>
          </w:p>
        </w:tc>
        <w:tc>
          <w:tcPr>
            <w:tcW w:w="246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由生产部门完善各风险单元操作规程，设备管理部门建立设施维护保养台账，环境管理部门定期检查落实情况</w:t>
            </w:r>
          </w:p>
        </w:tc>
      </w:tr>
      <w:tr>
        <w:trPr>
          <w:cantSplit w:val="true"/>
          <w:trHeight w:val="320" w:hRule="atLeast"/>
        </w:trPr>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污染物拦截</w:t>
            </w:r>
          </w:p>
        </w:tc>
        <w:tc>
          <w:tcPr>
            <w:tcW w:w="23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设置事故应急池（200立方米）、初期雨水收集池（120立方米）及事故水总排口切换阀，事故废水经厂内废水预处理设施处理</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切换阀日常检查记录与事故废水拦截演练有待加强，拦截系统有效性验证需进一步规范</w:t>
            </w:r>
          </w:p>
        </w:tc>
        <w:tc>
          <w:tcPr>
            <w:tcW w:w="246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由环境管理部门组织定期检查切换阀与池体有效容积，生产部门配合开展拦截系统功能验证并留存记录</w:t>
            </w:r>
          </w:p>
        </w:tc>
      </w:tr>
      <w:tr>
        <w:trPr>
          <w:cantSplit w:val="true"/>
          <w:trHeight w:val="320" w:hRule="atLeast"/>
        </w:trPr>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应急监测</w:t>
            </w:r>
          </w:p>
        </w:tc>
        <w:tc>
          <w:tcPr>
            <w:tcW w:w="23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已明确监测机构泰安市某检测有限公司及监测项目、点位、频次</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应急监测协议与响应时限有待进一步落实，监测数据归档管理需规范</w:t>
            </w:r>
          </w:p>
        </w:tc>
        <w:tc>
          <w:tcPr>
            <w:tcW w:w="246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由环境管理部门与监测机构衔接响应时限，环境监测组组长周某某负责监测数据收集与归档</w:t>
            </w:r>
          </w:p>
        </w:tc>
      </w:tr>
      <w:tr>
        <w:trPr>
          <w:cantSplit w:val="true"/>
          <w:trHeight w:val="320" w:hRule="atLeast"/>
        </w:trPr>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w:t>
            </w:r>
          </w:p>
        </w:tc>
        <w:tc>
          <w:tcPr>
            <w:tcW w:w="23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应急物资库、应急器材柜及车间应急柜已配置吸油毡、吸油围栏、防酸碱防护服、正压式空气呼吸器、过滤式防毒面具、堵漏胶、灭火器、酸碱中和药剂、气体检测仪、应急照明、转运桶、沙袋及洗眼器等物资</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物资台账更新与定期检查记录有待完善，部分物资有效期管理需进一步规范</w:t>
            </w:r>
          </w:p>
        </w:tc>
        <w:tc>
          <w:tcPr>
            <w:tcW w:w="246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由后勤保障组组长孙某某负责建立物资台账并定期检查，环境管理部门定期核查物资完好情况</w:t>
            </w:r>
          </w:p>
        </w:tc>
      </w:tr>
      <w:tr>
        <w:trPr>
          <w:cantSplit w:val="true"/>
          <w:trHeight w:val="320" w:hRule="atLeast"/>
        </w:trPr>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人员培训与演练</w:t>
            </w:r>
          </w:p>
        </w:tc>
        <w:tc>
          <w:tcPr>
            <w:tcW w:w="23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已明确各应急小组人员及联系方式</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培训与演练记录有待留存，演练频次与评估机制需进一步健全</w:t>
            </w:r>
          </w:p>
        </w:tc>
        <w:tc>
          <w:tcPr>
            <w:tcW w:w="246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由环境管理部门制定年度培训与演练计划，各应急小组组长组织落实并留存记录</w:t>
            </w:r>
          </w:p>
        </w:tc>
      </w:tr>
      <w:tr>
        <w:trPr>
          <w:cantSplit w:val="true"/>
          <w:trHeight w:val="320" w:hRule="atLeast"/>
        </w:trPr>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信息公开</w:t>
            </w:r>
          </w:p>
        </w:tc>
        <w:tc>
          <w:tcPr>
            <w:tcW w:w="23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color w:val="C00000"/>
              </w:rPr>
              <w:t>【待用户填：现有措施】</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环境信息公开制度与周边社区沟通机制有待建立</w:t>
            </w:r>
          </w:p>
        </w:tc>
        <w:tc>
          <w:tcPr>
            <w:tcW w:w="246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由行政管理部门牵头建立环境信息公开与周边沟通机制，环境管理部门配合提供相关信息</w:t>
            </w:r>
          </w:p>
        </w:tc>
      </w:tr>
    </w:tbl>
    <w:p>
      <w:pPr>
        <w:pStyle w:val="Heading2"/>
        <w:spacing w:line="500" w:lineRule="exact" w:before="0" w:after="0"/>
        <w:jc w:val="left"/>
        <w:outlineLvl w:val="1"/>
      </w:pPr>
      <w:bookmarkStart w:id="90030" w:name="_Toc90030"/>
      <w:r>
        <w:rPr>
          <w:rFonts w:ascii="Times New Roman" w:hAnsi="Times New Roman" w:eastAsia="宋体"/>
          <w:sz w:val="28"/>
          <w:b/>
        </w:rPr>
        <w:t>5.3 环境应急资源</w:t>
      </w:r>
      <w:bookmarkEnd w:id="90030"/>
    </w:p>
    <w:p>
      <w:pPr>
        <w:spacing w:line="500" w:lineRule="exact" w:before="0" w:after="0"/>
        <w:ind w:firstLineChars="200"/>
        <w:jc w:val="left"/>
      </w:pPr>
      <w:r>
        <w:rPr>
          <w:rFonts w:ascii="Times New Roman" w:hAnsi="Times New Roman" w:eastAsia="宋体"/>
          <w:sz w:val="24"/>
        </w:rPr>
        <w:t>公司设置应急物资库、应急器材柜、车间应急柜及安环部等存放点，储备的应急物资包括：吸油毡400×500mm共200张、吸油围栏（拦油索）直径200mm×10m共4条、防酸碱防护服全封闭6套、正压式空气呼吸器6.8L/30MPa共4套、过滤式防毒面具（含滤毒盒）A/B/E/K组合20套、化学防护手套及护目镜耐酸碱20套、堵漏胶及堵漏夹具和木楔成套2套、干粉灭火器4kg共40只、推车式干粉/泡沫灭火器35kg共6只、酸碱中和药剂（石灰、碳酸钠）袋装2吨、便携式气体检测仪四合一（O2/LEL/H2S/CO）4台、便携式VOCs检测仪（PID）2台、应急照明灯及警示带和警示牌成套10套、应急转运桶及沙袋200L/50kg共20个和200条、洗眼器及应急喷淋装置固定式6处。应急物资库、应急器材柜物资由孙某某（电话13700000001）管理，车间应急柜及储罐区、危废暂存间消防器材由周某某（电话13700000002）管理。后勤保障组负责物资的日常检查、维护保养和及时补充，确保吸油毡、吸油围栏、堵漏器材、中和药剂等处于有效可用状态，正压式空气呼吸器气瓶压力、便携式气体检测仪和VOCs检测仪电量及标定状态定期核查。尚需完善的是，应急物资台账和出入库记录有待规范，物资定期检查周期和报废更新制度尚未成文，应结合演练和实际消耗情况动态补充，保障事故状态下物资调得出、用得上。</w:t>
      </w:r>
    </w:p>
    <w:p>
      <w:pPr>
        <w:pStyle w:val="Heading2"/>
        <w:spacing w:line="500" w:lineRule="exact" w:before="0" w:after="0"/>
        <w:jc w:val="left"/>
        <w:outlineLvl w:val="1"/>
      </w:pPr>
      <w:bookmarkStart w:id="90031" w:name="_Toc90031"/>
      <w:r>
        <w:rPr>
          <w:rFonts w:ascii="Times New Roman" w:hAnsi="Times New Roman" w:eastAsia="宋体"/>
          <w:sz w:val="28"/>
          <w:b/>
        </w:rPr>
        <w:t>5.4 历史经验教训和总结</w:t>
      </w:r>
      <w:bookmarkEnd w:id="90031"/>
    </w:p>
    <w:p>
      <w:pPr>
        <w:spacing w:line="500" w:lineRule="exact" w:before="0" w:after="0"/>
        <w:ind w:firstLineChars="200"/>
        <w:jc w:val="left"/>
      </w:pPr>
      <w:r>
        <w:rPr>
          <w:rFonts w:ascii="Times New Roman" w:hAnsi="Times New Roman" w:eastAsia="宋体"/>
          <w:sz w:val="24"/>
        </w:rPr>
        <w:t>企业近三年未发生突发环境事件，无相关历史经验教训。</w:t>
      </w:r>
    </w:p>
    <w:p>
      <w:pPr>
        <w:pStyle w:val="Heading2"/>
        <w:spacing w:line="500" w:lineRule="exact" w:before="0" w:after="0"/>
        <w:jc w:val="left"/>
        <w:outlineLvl w:val="1"/>
      </w:pPr>
      <w:bookmarkStart w:id="90032" w:name="_Toc90032"/>
      <w:r>
        <w:rPr>
          <w:rFonts w:ascii="Times New Roman" w:hAnsi="Times New Roman" w:eastAsia="宋体"/>
          <w:sz w:val="28"/>
          <w:b/>
        </w:rPr>
        <w:t>5.5 需要整改的短期、中期和长期项目内容</w:t>
      </w:r>
      <w:bookmarkEnd w:id="90032"/>
    </w:p>
    <w:p>
      <w:pPr>
        <w:spacing w:line="500" w:lineRule="exact" w:before="0" w:after="0"/>
        <w:ind w:firstLineChars="200"/>
        <w:jc w:val="left"/>
      </w:pPr>
      <w:r>
        <w:rPr>
          <w:rFonts w:ascii="Times New Roman" w:hAnsi="Times New Roman" w:eastAsia="宋体"/>
          <w:sz w:val="24"/>
        </w:rPr>
        <w:t>按短期（3个月以内）、中期（3至12个月）、长期（1年以上）分别列出整改项目，明确责任部门与完成时限。</w:t>
      </w:r>
    </w:p>
    <w:p>
      <w:pPr>
        <w:pStyle w:val="Heading1"/>
        <w:spacing w:line="500" w:lineRule="exact" w:before="0" w:after="0"/>
        <w:jc w:val="left"/>
        <w:outlineLvl w:val="0"/>
      </w:pPr>
      <w:bookmarkStart w:id="90033" w:name="_Toc90033"/>
      <w:r>
        <w:rPr>
          <w:rFonts w:ascii="Times New Roman" w:hAnsi="Times New Roman" w:eastAsia="宋体"/>
          <w:sz w:val="30"/>
          <w:b/>
        </w:rPr>
        <w:t>6 完善环境风险防控和应急措施的实施计划</w:t>
      </w:r>
      <w:bookmarkEnd w:id="90033"/>
    </w:p>
    <w:p>
      <w:pPr>
        <w:spacing w:line="500" w:lineRule="exact" w:before="0" w:after="0"/>
        <w:ind w:firstLineChars="200"/>
        <w:jc w:val="left"/>
      </w:pPr>
      <w:r>
        <w:rPr>
          <w:rFonts w:ascii="Times New Roman" w:hAnsi="Times New Roman" w:eastAsia="宋体"/>
          <w:sz w:val="24"/>
        </w:rPr>
        <w:t>为完善厂区环境风险防控水平，提高环境预警和环境应急能力，逐项制定环境风险防控措施与应急管理目标、完成时限。</w:t>
      </w:r>
    </w:p>
    <w:p>
      <w:pPr>
        <w:keepNext w:val="true"/>
        <w:spacing w:line="500" w:lineRule="exact" w:before="0" w:after="0"/>
        <w:jc w:val="center"/>
      </w:pPr>
      <w:r>
        <w:rPr>
          <w:rFonts w:ascii="宋体" w:hAnsi="宋体" w:eastAsia="宋体"/>
          <w:sz w:val="24"/>
          <w:b/>
        </w:rPr>
        <w:t>表6-1 环境风险防控措施完善实施计划表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617"/>
        <w:gridCol w:w="3289"/>
        <w:gridCol w:w="1336"/>
        <w:gridCol w:w="1542"/>
        <w:gridCol w:w="1439"/>
      </w:tblGrid>
      <w:tr>
        <w:trPr>
          <w:cantSplit w:val="true"/>
          <w:trHeight w:val="320" w:hRule="atLeast"/>
          <w:tblHeader w:val="true"/>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328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项目内容</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时限</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责任部门</w:t>
            </w:r>
          </w:p>
        </w:tc>
        <w:tc>
          <w:tcPr>
            <w:tcW w:w="143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完成情况</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328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完善环境应急管理制度与操作规程文本</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短期（3个月内）</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环境管理部门</w:t>
            </w:r>
          </w:p>
        </w:tc>
        <w:tc>
          <w:tcPr>
            <w:tcW w:w="143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328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规范应急物资台账与检查维护记录</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短期（3个月内）</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环境管理部门</w:t>
            </w:r>
          </w:p>
        </w:tc>
        <w:tc>
          <w:tcPr>
            <w:tcW w:w="143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328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组织开展环境应急演练并留存演练记录</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中期（3至12个月）</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生产部门</w:t>
            </w:r>
          </w:p>
        </w:tc>
        <w:tc>
          <w:tcPr>
            <w:tcW w:w="143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328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完善事故应急池、初期雨水收集池运行维护管理</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中期（3至12个月）</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设备管理部门</w:t>
            </w:r>
          </w:p>
        </w:tc>
        <w:tc>
          <w:tcPr>
            <w:tcW w:w="143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328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健全危险废物暂存与转移台账管理</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中期（3至12个月）</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环境管理部门</w:t>
            </w:r>
          </w:p>
        </w:tc>
        <w:tc>
          <w:tcPr>
            <w:tcW w:w="143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328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开展环境应急培训与外部协作机制建设</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长期（1年以上）</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行政管理部门</w:t>
            </w:r>
          </w:p>
        </w:tc>
        <w:tc>
          <w:tcPr>
            <w:tcW w:w="143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bl>
    <w:p>
      <w:pPr>
        <w:pStyle w:val="Heading1"/>
        <w:spacing w:line="500" w:lineRule="exact" w:before="0" w:after="0"/>
        <w:jc w:val="left"/>
        <w:outlineLvl w:val="0"/>
      </w:pPr>
      <w:bookmarkStart w:id="90034" w:name="_Toc90034"/>
      <w:r>
        <w:rPr>
          <w:rFonts w:ascii="Times New Roman" w:hAnsi="Times New Roman" w:eastAsia="宋体"/>
          <w:sz w:val="30"/>
          <w:b/>
        </w:rPr>
        <w:t>7 企业突发环境事件风险等级</w:t>
      </w:r>
      <w:bookmarkEnd w:id="90034"/>
    </w:p>
    <w:p>
      <w:pPr>
        <w:spacing w:line="500" w:lineRule="exact" w:before="0" w:after="0"/>
        <w:ind w:firstLineChars="200"/>
        <w:jc w:val="left"/>
      </w:pPr>
      <w:r>
        <w:rPr>
          <w:rFonts w:ascii="Times New Roman" w:hAnsi="Times New Roman" w:eastAsia="宋体"/>
          <w:sz w:val="24"/>
        </w:rPr>
        <w:t>企业突发环境事件风险等级分为重大、较大和一般三级，分别用红色、黄色和蓝色标识。根据 HJ 941-2018，按企业生产、使用、存储和释放的突发环境事件风险物质数量与其临界量的比值（Q），结合工艺过程与环境风险控制水平（M）以及环境风险受体敏感性（E），分别评估突发大气环境事件风险和突发水环境事件风险，同时涉及大气和水的，以等级高者确定企业风险等级。</w:t>
      </w:r>
    </w:p>
    <w:p>
      <w:pPr>
        <w:keepNext w:val="true"/>
        <w:jc w:val="center"/>
        <w:spacing w:before="60" w:after="60" w:lineRule="auto"/>
      </w:pPr>
      <w:r>
        <w:pict>
          <v:group id="envrf_canvas" o:spid="_x0000_s4699" o:spt="203" style="height:408.84pt;width:440.00pt;" coordsize="5833110,5420000" editas="canvas">
            <o:lock v:ext="edit"/>
            <v:rect id="envrf_bg" o:spid="_x0000_s4701" o:spt="1" style="position:absolute;left:0;top:0;height:5420000;width:5833110;" filled="f" stroked="f" coordsize="21600,21600">
              <v:path/>
              <v:fill on="f" focussize="0,0"/>
              <v:stroke on="f"/>
              <v:imagedata o:title=""/>
              <o:lock v:ext="edit" aspectratio="f"/>
            </v:rect>
            <v:rect id="envrf_a" o:spid="_x0000_s4702" o:spt="1" style="position:absolute;left:1266555;top:0;height:500000;width:330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企业基本情况调查与分析</w:t>
                    </w:r>
                  </w:p>
                </w:txbxContent>
              </v:textbox>
            </v:rect>
            <v:rect id="envrf_b" o:spid="_x0000_s4703" o:spt="1" style="position:absolute;left:1216555;top:750000;height:500000;width:340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计算涉气（或水）风险物质数量与临界量比值（Q）</w:t>
                    </w:r>
                  </w:p>
                </w:txbxContent>
              </v:textbox>
            </v:rect>
            <v:rect id="envrf_g0" o:spid="_x0000_s4704" o:spt="1" style="position:absolute;left:60000;top:880000;height:760000;width:100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Q＜1，直接评为一般环境风险等级（Q0）</w:t>
                    </w:r>
                  </w:p>
                </w:txbxContent>
              </v:textbox>
            </v:rect>
            <v:rect id="envrf_c" o:spid="_x0000_s4705" o:spt="1" style="position:absolute;left:316555;top:1780000;height:1000000;width:520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生产工艺过程与环境风险控制水平（M）</w:t>
                    </w:r>
                  </w:p>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涉气（或水）风险物质数量与临界量比值（Q）</w:t>
                    </w:r>
                  </w:p>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大气（或水）环境风险受体敏感性（E）</w:t>
                    </w:r>
                  </w:p>
                </w:txbxContent>
              </v:textbox>
            </v:rect>
            <v:rect id="envrf_d" o:spid="_x0000_s4706" o:spt="1" style="position:absolute;left:816555;top:3000000;height:500000;width:420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突发大气（或水）环境事件风险等级</w:t>
                    </w:r>
                  </w:p>
                </w:txbxContent>
              </v:textbox>
            </v:rect>
            <v:rect id="envrf_e" o:spid="_x0000_s4707" o:spt="1" style="position:absolute;left:1116555;top:3800000;height:500000;width:360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企业突发环境事件风险等级</w:t>
                    </w:r>
                  </w:p>
                </w:txbxContent>
              </v:textbox>
            </v:rect>
            <v:shape id="envrf_l1" o:spid="_x0000_s4708" o:spt="32" type="#_x0000_t32" style="position:absolute;left:2916555;top:500000;height:250000;width:0;" filled="f" stroked="t" coordsize="21600,21600">
              <v:path arrowok="t"/>
              <v:fill on="f" focussize="0,0"/>
              <v:stroke color="000000" joinstyle="round" endarrow="open"/>
              <v:imagedata o:title=""/>
              <o:lock v:ext="edit" aspectratio="f"/>
            </v:shape>
            <v:shape id="envrf_l2" o:spid="_x0000_s4709" o:spt="32" type="#_x0000_t32" style="position:absolute;left:2916555;top:1250000;height:530000;width:0;" filled="f" stroked="t" coordsize="21600,21600">
              <v:path arrowok="t"/>
              <v:fill on="f" focussize="0,0"/>
              <v:stroke color="000000" joinstyle="round" endarrow="open"/>
              <v:imagedata o:title=""/>
              <o:lock v:ext="edit" aspectratio="f"/>
            </v:shape>
            <v:shape id="envrf_l3" o:spid="_x0000_s4710" o:spt="32" type="#_x0000_t32" style="position:absolute;left:2916555;top:2780000;height:220000;width:0;" filled="f" stroked="t" coordsize="21600,21600">
              <v:path arrowok="t"/>
              <v:fill on="f" focussize="0,0"/>
              <v:stroke color="000000" joinstyle="round" endarrow="open"/>
              <v:imagedata o:title=""/>
              <o:lock v:ext="edit" aspectratio="f"/>
            </v:shape>
            <v:shape id="envrf_l4" o:spid="_x0000_s4711" o:spt="32" type="#_x0000_t32" style="position:absolute;left:2916555;top:3500000;height:300000;width:0;" filled="f" stroked="t" coordsize="21600,21600">
              <v:path arrowok="t"/>
              <v:fill on="f" focussize="0,0"/>
              <v:stroke color="000000" joinstyle="round" endarrow="open"/>
              <v:imagedata o:title=""/>
              <o:lock v:ext="edit" aspectratio="f"/>
            </v:shape>
            <v:shape id="envrf_l5" o:spid="_x0000_s4712" o:spt="32" type="#_x0000_t32" style="position:absolute;left:2916555;top:4300000;height:200000;width:0;" filled="f" stroked="t" coordsize="21600,21600">
              <v:path arrowok="t"/>
              <v:fill on="f" focussize="0,0"/>
              <v:stroke color="000000" joinstyle="round"/>
              <v:imagedata o:title=""/>
              <o:lock v:ext="edit" aspectratio="f"/>
            </v:shape>
            <v:shape id="envrf_g0l" o:spid="_x0000_s4713" o:spt="32" type="#_x0000_t32" style="position:absolute;left:1060000;top:1000000;height:260000;width:156555;" filled="f" stroked="t" coordsize="21600,21600">
              <v:path arrowok="t"/>
              <v:fill on="f" focussize="0,0"/>
              <v:stroke color="000000" joinstyle="round" endarrow="open"/>
              <v:imagedata o:title=""/>
              <o:lock v:ext="edit" aspectratio="f"/>
            </v:shape>
            <v:shape id="envrf_bar" o:spid="_x0000_s4714" o:spt="32" type="#_x0000_t32" style="position:absolute;left:1036555;top:4500000;height:0;width:3760000;" filled="f" stroked="t" coordsize="21600,21600">
              <v:path arrowok="t"/>
              <v:fill on="f" focussize="0,0"/>
              <v:stroke color="000000" joinstyle="round"/>
              <v:imagedata o:title=""/>
              <o:lock v:ext="edit" aspectratio="f"/>
            </v:shape>
            <v:shape id="envrf_f0" o:spid="_x0000_s4715" o:spt="32" type="#_x0000_t32" style="position:absolute;left:1036555;top:4500000;height:150000;width:0;" filled="f" stroked="t" coordsize="21600,21600">
              <v:path arrowok="t"/>
              <v:fill on="f" focussize="0,0"/>
              <v:stroke color="000000" joinstyle="round" endarrow="open"/>
              <v:imagedata o:title=""/>
              <o:lock v:ext="edit" aspectratio="f"/>
            </v:shape>
            <v:rect id="envrf_b0" o:spid="_x0000_s4716" o:spt="1" style="position:absolute;left:186555;top:4650000;height:620000;width:170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一般环境风险</w:t>
                    </w:r>
                  </w:p>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（蓝色）</w:t>
                    </w:r>
                  </w:p>
                </w:txbxContent>
              </v:textbox>
            </v:rect>
            <v:shape id="envrf_f1" o:spid="_x0000_s4717" o:spt="32" type="#_x0000_t32" style="position:absolute;left:2916555;top:4500000;height:150000;width:0;" filled="f" stroked="t" coordsize="21600,21600">
              <v:path arrowok="t"/>
              <v:fill on="f" focussize="0,0"/>
              <v:stroke color="000000" joinstyle="round" endarrow="open"/>
              <v:imagedata o:title=""/>
              <o:lock v:ext="edit" aspectratio="f"/>
            </v:shape>
            <v:rect id="envrf_b1" o:spid="_x0000_s4718" o:spt="1" style="position:absolute;left:2066555;top:4650000;height:620000;width:170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较大环境风险</w:t>
                    </w:r>
                  </w:p>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（黄色）</w:t>
                    </w:r>
                  </w:p>
                </w:txbxContent>
              </v:textbox>
            </v:rect>
            <v:shape id="envrf_f2" o:spid="_x0000_s4719" o:spt="32" type="#_x0000_t32" style="position:absolute;left:4796555;top:4500000;height:150000;width:0;" filled="f" stroked="t" coordsize="21600,21600">
              <v:path arrowok="t"/>
              <v:fill on="f" focussize="0,0"/>
              <v:stroke color="000000" joinstyle="round" endarrow="open"/>
              <v:imagedata o:title=""/>
              <o:lock v:ext="edit" aspectratio="f"/>
            </v:shape>
            <v:rect id="envrf_b2" o:spid="_x0000_s4720" o:spt="1" style="position:absolute;left:3946555;top:4650000;height:620000;width:170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重大环境风险</w:t>
                    </w:r>
                  </w:p>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（红色）</w:t>
                    </w:r>
                  </w:p>
                </w:txbxContent>
              </v:textbox>
            </v:rect>
          </v:group>
        </w:pict>
      </w:r>
    </w:p>
    <w:p>
      <w:pPr>
        <w:spacing w:line="500" w:lineRule="exact" w:before="0" w:after="0"/>
        <w:jc w:val="center"/>
      </w:pPr>
      <w:r>
        <w:rPr>
          <w:rFonts w:ascii="Times New Roman" w:hAnsi="Times New Roman" w:eastAsia="宋体"/>
          <w:sz w:val="24"/>
          <w:b/>
        </w:rPr>
        <w:t>图7-1  企业突发环境事件风险分级程序</w:t>
      </w:r>
    </w:p>
    <w:p>
      <w:pPr>
        <w:spacing w:line="500" w:lineRule="exact" w:before="0" w:after="0"/>
        <w:jc w:val="left"/>
      </w:pPr>
    </w:p>
    <w:p>
      <w:pPr>
        <w:pStyle w:val="Heading2"/>
        <w:spacing w:line="500" w:lineRule="exact" w:before="0" w:after="0"/>
        <w:jc w:val="left"/>
        <w:outlineLvl w:val="1"/>
      </w:pPr>
      <w:bookmarkStart w:id="90035" w:name="_Toc90035"/>
      <w:r>
        <w:rPr>
          <w:rFonts w:ascii="Times New Roman" w:hAnsi="Times New Roman" w:eastAsia="宋体"/>
          <w:sz w:val="28"/>
          <w:b/>
        </w:rPr>
        <w:t>7.1 突发大气环境事件风险分级</w:t>
      </w:r>
      <w:bookmarkEnd w:id="90035"/>
    </w:p>
    <w:p>
      <w:pPr>
        <w:spacing w:line="500" w:lineRule="exact" w:before="0" w:after="0"/>
        <w:ind w:firstLineChars="200"/>
        <w:jc w:val="left"/>
      </w:pPr>
      <w:r>
        <w:rPr>
          <w:rFonts w:ascii="Times New Roman" w:hAnsi="Times New Roman" w:eastAsia="宋体"/>
          <w:sz w:val="24"/>
        </w:rPr>
        <w:t>（1）计算涉气风险物质数量与临界量比值（Q）</w:t>
      </w:r>
    </w:p>
    <w:p>
      <w:pPr>
        <w:keepNext w:val="true"/>
        <w:spacing w:line="500" w:lineRule="exact" w:before="0" w:after="0"/>
        <w:jc w:val="center"/>
      </w:pPr>
      <w:r>
        <w:rPr>
          <w:rFonts w:ascii="宋体" w:hAnsi="宋体" w:eastAsia="宋体"/>
          <w:sz w:val="24"/>
          <w:b/>
        </w:rPr>
        <w:t>表7-1 企业涉气风险物质和临界量表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617"/>
        <w:gridCol w:w="2775"/>
        <w:gridCol w:w="1644"/>
        <w:gridCol w:w="1542"/>
        <w:gridCol w:w="1644"/>
      </w:tblGrid>
      <w:tr>
        <w:trPr>
          <w:cantSplit w:val="true"/>
          <w:trHeight w:val="320" w:hRule="atLeast"/>
          <w:tblHeader w:val="true"/>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风险物质名称</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最大存在量（t）</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临界量（t）</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Q值</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7.5000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二甲苯</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0.8000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乙酸乙酯</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0.5000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氨水</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0.2000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硫化氢</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0.0500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0.0200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合计</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Q = 13.5200</w:t>
            </w:r>
          </w:p>
        </w:tc>
      </w:tr>
    </w:tbl>
    <w:p>
      <w:pPr>
        <w:spacing w:line="500" w:lineRule="exact" w:before="0" w:after="0"/>
        <w:ind w:firstLineChars="200"/>
        <w:jc w:val="left"/>
      </w:pPr>
      <w:r>
        <w:rPr>
          <w:rFonts w:ascii="Times New Roman" w:hAnsi="Times New Roman" w:eastAsia="宋体"/>
          <w:sz w:val="24"/>
        </w:rPr>
        <w:t>将上表中涉气风险物质数量与临界量比值相加，可得：Q = 13.5200，属于 Q2。</w:t>
      </w:r>
    </w:p>
    <w:p>
      <w:pPr>
        <w:spacing w:line="500" w:lineRule="exact" w:before="0" w:after="0"/>
        <w:ind w:firstLineChars="200"/>
        <w:jc w:val="left"/>
      </w:pPr>
      <w:r>
        <w:rPr>
          <w:rFonts w:ascii="Times New Roman" w:hAnsi="Times New Roman" w:eastAsia="宋体"/>
          <w:sz w:val="24"/>
        </w:rPr>
        <w:t>（2）评估生产工艺过程与环境风险控制水平（M）</w:t>
      </w:r>
    </w:p>
    <w:p>
      <w:pPr>
        <w:spacing w:line="500" w:lineRule="exact" w:before="0" w:after="0"/>
        <w:ind w:firstLineChars="200"/>
        <w:jc w:val="left"/>
      </w:pPr>
      <w:r>
        <w:rPr>
          <w:rFonts w:ascii="Times New Roman" w:hAnsi="Times New Roman" w:eastAsia="宋体"/>
          <w:sz w:val="24"/>
        </w:rPr>
        <w:t>按 HJ 941-2018 表 1 评估生产工艺过程（按工艺单元数计分，该部分合计封顶 30 分），按表 2 评估大气环境风险防控措施及突发大气环境事件发生情况（该部分合计最高 70 分），两部分得分相加即为大气环境风险防控水平 M 值（满分 100 分）；M 值按标准表 3《M 值类型划分表》落入 M1～M4 区间，即确定本企业大气环境事件风险的 M 型（见表7-3）。</w:t>
      </w:r>
    </w:p>
    <w:p>
      <w:pPr>
        <w:keepNext w:val="true"/>
        <w:spacing w:line="500" w:lineRule="exact" w:before="0" w:after="0"/>
        <w:jc w:val="center"/>
      </w:pPr>
      <w:r>
        <w:rPr>
          <w:rFonts w:ascii="宋体" w:hAnsi="宋体" w:eastAsia="宋体"/>
          <w:sz w:val="24"/>
          <w:b/>
        </w:rPr>
        <w:t>表7-2 企业生产工艺过程与环境风险控制水平（M）评分表（大气）</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142"/>
        <w:gridCol w:w="514"/>
        <w:gridCol w:w="1941"/>
        <w:gridCol w:w="3483"/>
        <w:gridCol w:w="1142"/>
      </w:tblGrid>
      <w:tr>
        <w:trPr>
          <w:cantSplit w:val="true"/>
          <w:trHeight w:val="320" w:hRule="atLeast"/>
          <w:tblHeader w:val="true"/>
        </w:trPr>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评估项目</w:t>
            </w: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序号</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评估指标</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评估依据及分值</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得分</w:t>
            </w:r>
          </w:p>
        </w:tc>
      </w:tr>
      <w:tr>
        <w:trPr>
          <w:cantSplit w:val="true"/>
          <w:trHeight w:val="320" w:hRule="atLeast"/>
        </w:trPr>
        <w:tc>
          <w:tcPr>
            <w:tcW w:w="1142"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生产工艺过程</w:t>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1</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涉及重点监管危险化工工艺的工艺单元</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光气及光气化、电解（氯碱）、氯化、硝化、合成氨、裂解（裂化）、氟化、加氢、重氮化、氧化、过氧化、胺基化、磺化、聚合、烷基化、新型煤化工、电石生产、偶氮化工艺；按工艺单元数计，每套 10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0（0 套）</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2</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其他高温或高压、涉及易燃易爆等物质的工艺过程</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高温指工艺温度≥300℃，高压指压力容器设计压力≥10.0MPa；易燃易爆物质按 GB 30000.2～GB 30000.13 判定；按工艺单元数计，每套 5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10（2 套）</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3</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具有国家规定限期淘汰的工艺名录和设备</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《产业结构调整指导目录》中有淘汰期限的淘汰类落后生产工艺装备；按工艺单元数计，每套 5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0（0 套）</w:t>
            </w:r>
          </w:p>
        </w:tc>
      </w:tr>
      <w:tr>
        <w:trPr>
          <w:cantSplit w:val="true"/>
          <w:trHeight w:val="320" w:hRule="atLeast"/>
        </w:trPr>
        <w:tc>
          <w:tcPr>
            <w:tcW w:w="1142"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环境风险防控措施</w:t>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4</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毒性气体泄漏监控预警措施</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不涉及附录 A 中有毒有害气体（0 分）；涉及，且具备有毒有害气体（如硫化氢、氰化氢、氯化氢、光气、氯气、氨气、苯等）厂界泄漏监控预警系统（0 分）；涉及，但不具备厂界有毒有害气体泄漏监控预警系统（25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25</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5</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符合防护距离情况</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符合环评及批复文件防护距离要求（0 分）；不符合环评及批复文件防护距离要求（25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25</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6</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近 3 年内突发大气环境事件发生情况</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未发生突发大气环境事件（0 分）；发生过一般等级突发大气环境事件（10 分）；发生过较大等级突发大气环境事件（15 分）；发生过特别重大或重大等级突发大气环境事件（20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0</w:t>
            </w:r>
          </w:p>
        </w:tc>
      </w:tr>
      <w:tr>
        <w:trPr>
          <w:cantSplit w:val="true"/>
          <w:trHeight w:val="320" w:hRule="atLeast"/>
        </w:trPr>
        <w:tc>
          <w:tcPr>
            <w:tcW w:w="3597" w:type="dxa"/>
            <w:gridSpan w:val="3"/>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b/>
              </w:rPr>
              <w:t>M 值合计</w:t>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生产工艺过程得分 10 ＋ 大气环境风险防控措施得分（合计最高 100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b/>
              </w:rPr>
              <w:t>60（M3）</w:t>
            </w:r>
          </w:p>
        </w:tc>
      </w:tr>
    </w:tbl>
    <w:p>
      <w:pPr>
        <w:keepNext w:val="true"/>
        <w:spacing w:line="500" w:lineRule="exact" w:before="0" w:after="0"/>
        <w:jc w:val="center"/>
      </w:pPr>
      <w:r>
        <w:rPr>
          <w:rFonts w:ascii="宋体" w:hAnsi="宋体" w:eastAsia="宋体"/>
          <w:sz w:val="24"/>
          <w:b/>
        </w:rPr>
        <w:t>表7-3 M 值类型划分表（HJ 941-2018 表 3）</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941"/>
        <w:gridCol w:w="2855"/>
        <w:gridCol w:w="3426"/>
      </w:tblGrid>
      <w:tr>
        <w:trPr>
          <w:cantSplit w:val="true"/>
          <w:trHeight w:val="320" w:hRule="atLeast"/>
          <w:tblHeader w:val="true"/>
        </w:trPr>
        <w:tc>
          <w:tcPr>
            <w:tcW w:w="1941" w:type="dxa"/>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rPr>
              <w:t>M 值类型</w:t>
            </w:r>
          </w:p>
        </w:tc>
        <w:tc>
          <w:tcPr>
            <w:tcW w:w="2855" w:type="dxa"/>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rPr>
              <w:t>M 值范围（分）</w:t>
            </w:r>
          </w:p>
        </w:tc>
        <w:tc>
          <w:tcPr>
            <w:tcW w:w="3426" w:type="dxa"/>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rPr>
              <w:t>本企业判定</w:t>
            </w:r>
          </w:p>
        </w:tc>
      </w:tr>
      <w:tr>
        <w:trPr>
          <w:cantSplit w:val="true"/>
          <w:trHeight w:val="320" w:hRule="atLeast"/>
        </w:trPr>
        <w:tc>
          <w:tcPr>
            <w:tcW w:w="1941" w:type="dxa"/>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rPr>
              <w:t>M1</w:t>
            </w:r>
          </w:p>
        </w:tc>
        <w:tc>
          <w:tcPr>
            <w:tcW w:w="2855" w:type="dxa"/>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rPr>
              <w:t>M＜25</w:t>
            </w:r>
          </w:p>
        </w:tc>
        <w:tc>
          <w:tcPr>
            <w:tcW w:w="3426" w:type="dxa"/>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rPr>
            </w:r>
          </w:p>
        </w:tc>
      </w:tr>
      <w:tr>
        <w:trPr>
          <w:cantSplit w:val="true"/>
          <w:trHeight w:val="320" w:hRule="atLeast"/>
        </w:trPr>
        <w:tc>
          <w:tcPr>
            <w:tcW w:w="1941" w:type="dxa"/>
            <w:shd w:val="clear" w:fill="F2F2F2"/>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b/>
              </w:rPr>
              <w:t>M2</w:t>
            </w:r>
          </w:p>
        </w:tc>
        <w:tc>
          <w:tcPr>
            <w:tcW w:w="2855" w:type="dxa"/>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rPr>
              <w:t>25 ≤ M＜45</w:t>
            </w:r>
          </w:p>
        </w:tc>
        <w:tc>
          <w:tcPr>
            <w:tcW w:w="3426" w:type="dxa"/>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b/>
              </w:rPr>
              <w:t>√ 水环境事件风险 M 值属 M2 型</w:t>
            </w:r>
          </w:p>
        </w:tc>
      </w:tr>
      <w:tr>
        <w:trPr>
          <w:cantSplit w:val="true"/>
          <w:trHeight w:val="320" w:hRule="atLeast"/>
        </w:trPr>
        <w:tc>
          <w:tcPr>
            <w:tcW w:w="1941" w:type="dxa"/>
            <w:shd w:val="clear" w:fill="F2F2F2"/>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b/>
              </w:rPr>
              <w:t>M3</w:t>
            </w:r>
          </w:p>
        </w:tc>
        <w:tc>
          <w:tcPr>
            <w:tcW w:w="2855" w:type="dxa"/>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rPr>
              <w:t>45 ≤ M＜65</w:t>
            </w:r>
          </w:p>
        </w:tc>
        <w:tc>
          <w:tcPr>
            <w:tcW w:w="3426" w:type="dxa"/>
            <w:tcBorders>
              <w:top w:val="single" w:sz="4" w:space="0" w:color="000000"/>
              <w:start w:val="single" w:sz="4" w:space="0" w:color="000000"/>
              <w:bottom w:val="single" w:sz="4" w:space="0" w:color="000000"/>
              <w:end w:val="single" w:sz="4" w:space="0" w:color="000000"/>
            </w:tcBorders>
            <w:vAlign w:val="center"/>
          </w:tcPr>
          <w:p>
            <w:pPr>
              <w:keepNext w:val="true"/>
              <w:snapToGrid w:val="0"/>
              <w:spacing w:line="240" w:lineRule="exact" w:before="0" w:after="0"/>
              <w:ind/>
              <w:jc w:val="center"/>
              <w:keepLines/>
            </w:pPr>
            <w:r>
              <w:rPr>
                <w:rFonts w:ascii="宋体" w:hAnsi="宋体" w:eastAsia="宋体"/>
                <w:sz w:val="21"/>
                <w:b/>
              </w:rPr>
              <w:t>√ 大气环境事件风险 M 值属 M3 型</w:t>
            </w:r>
          </w:p>
        </w:tc>
      </w:tr>
      <w:tr>
        <w:trPr>
          <w:cantSplit w:val="true"/>
          <w:trHeight w:val="320" w:hRule="atLeast"/>
        </w:trPr>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M4</w:t>
            </w:r>
          </w:p>
        </w:tc>
        <w:tc>
          <w:tcPr>
            <w:tcW w:w="285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M ≥ 65</w:t>
            </w:r>
          </w:p>
        </w:tc>
        <w:tc>
          <w:tcPr>
            <w:tcW w:w="342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r>
          </w:p>
        </w:tc>
      </w:tr>
    </w:tbl>
    <w:p>
      <w:pPr>
        <w:spacing w:line="360" w:lineRule="exact" w:before="0" w:after="0"/>
        <w:jc w:val="left"/>
      </w:pPr>
      <w:r>
        <w:rPr>
          <w:rFonts w:ascii="Times New Roman" w:hAnsi="Times New Roman" w:eastAsia="宋体"/>
          <w:sz w:val="21"/>
        </w:rPr>
        <w:t>注：表 3 即《企业突发环境事件风险分级方法》（HJ 941-2018）规定的《M 值类型划分表》，M 值为表 1（生产工艺过程，合计封顶 30 分）与表 2/表 6（环境风险防控措施，合计最高 70 分）得分之和；M 型与 Q、E 组合后按标准表 5（突发水环境事件按表 8）确定企业突发环境事件风险等级。</w:t>
      </w:r>
    </w:p>
    <w:p>
      <w:pPr>
        <w:spacing w:line="500" w:lineRule="exact" w:before="0" w:after="0"/>
        <w:ind w:firstLineChars="200"/>
        <w:jc w:val="left"/>
      </w:pPr>
      <w:r>
        <w:rPr>
          <w:rFonts w:ascii="Times New Roman" w:hAnsi="Times New Roman" w:eastAsia="宋体"/>
          <w:sz w:val="24"/>
        </w:rPr>
        <w:t>M 值合计为 60 分，按 HJ 941-2018 表 3 属 M3 型。</w:t>
      </w:r>
    </w:p>
    <w:p>
      <w:pPr>
        <w:spacing w:line="500" w:lineRule="exact" w:before="0" w:after="0"/>
        <w:ind w:firstLineChars="200"/>
        <w:jc w:val="left"/>
      </w:pPr>
      <w:r>
        <w:rPr>
          <w:rFonts w:ascii="Times New Roman" w:hAnsi="Times New Roman" w:eastAsia="宋体"/>
          <w:sz w:val="24"/>
        </w:rPr>
        <w:t>（3）评估大气环境风险受体敏感性（E）</w:t>
      </w:r>
    </w:p>
    <w:p>
      <w:pPr>
        <w:keepNext w:val="true"/>
        <w:spacing w:line="500" w:lineRule="exact" w:before="0" w:after="0"/>
        <w:jc w:val="center"/>
      </w:pPr>
      <w:r>
        <w:rPr>
          <w:rFonts w:ascii="宋体" w:hAnsi="宋体" w:eastAsia="宋体"/>
          <w:sz w:val="24"/>
          <w:b/>
        </w:rPr>
        <w:t>表7-4 大气环境风险受体敏感性（E）判定表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028"/>
        <w:gridCol w:w="6052"/>
        <w:gridCol w:w="1142"/>
      </w:tblGrid>
      <w:tr>
        <w:trPr>
          <w:cantSplit w:val="true"/>
          <w:trHeight w:val="320" w:hRule="atLeast"/>
          <w:tblHeader w:val="true"/>
        </w:trPr>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类型</w:t>
            </w:r>
          </w:p>
        </w:tc>
        <w:tc>
          <w:tcPr>
            <w:tcW w:w="60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判定依据</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判定结果</w:t>
            </w:r>
          </w:p>
        </w:tc>
      </w:tr>
      <w:tr>
        <w:trPr>
          <w:cantSplit w:val="true"/>
          <w:trHeight w:val="320" w:hRule="atLeast"/>
        </w:trPr>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调查情况</w:t>
            </w:r>
          </w:p>
        </w:tc>
        <w:tc>
          <w:tcPr>
            <w:tcW w:w="60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据第 2.6 节表 2-4「企业周边环境风险受体」；500 米范围内已列受体人口合计 800 人（按下限计）；5 公里范围内已列受体人口合计 920 人（下限）；5 公里范围内人口数 28000 人（网页填报）</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w:t>
            </w:r>
          </w:p>
        </w:tc>
      </w:tr>
      <w:tr>
        <w:trPr>
          <w:cantSplit w:val="true"/>
          <w:trHeight w:val="320" w:hRule="atLeast"/>
        </w:trPr>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E1</w:t>
            </w:r>
          </w:p>
        </w:tc>
        <w:tc>
          <w:tcPr>
            <w:tcW w:w="60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 公里范围内人口数≥5 万人，或 500 米范围内人口数≥1000 人，或涉及军事禁区、军事管理区、国家相关保密区域</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1028" w:type="dxa"/>
            <w:shd w:val="clear" w:fill="F2F2F2"/>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E2</w:t>
            </w:r>
          </w:p>
        </w:tc>
        <w:tc>
          <w:tcPr>
            <w:tcW w:w="60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 公里范围内人口数 1 万～5 万人，或 500 米范围内人口数 500～1000 人</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是</w:t>
            </w:r>
          </w:p>
        </w:tc>
      </w:tr>
      <w:tr>
        <w:trPr>
          <w:cantSplit w:val="true"/>
          <w:trHeight w:val="320" w:hRule="atLeast"/>
        </w:trPr>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E3</w:t>
            </w:r>
          </w:p>
        </w:tc>
        <w:tc>
          <w:tcPr>
            <w:tcW w:w="60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 公里范围内人口数＜1 万人，且 500 米范围内人口数＜500 人</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bl>
    <w:p>
      <w:pPr>
        <w:spacing w:line="500" w:lineRule="exact" w:before="0" w:after="0"/>
        <w:ind w:firstLineChars="200"/>
        <w:jc w:val="left"/>
      </w:pPr>
      <w:r>
        <w:rPr>
          <w:rFonts w:ascii="Times New Roman" w:hAnsi="Times New Roman" w:eastAsia="宋体"/>
          <w:sz w:val="24"/>
        </w:rPr>
        <w:t>上表判据全部取自第 2.6 节表 2-4「企业周边环境风险受体」，两者一一对应；表 2-4 中未列明的居民点等受体不计入人口数，因此按表 2-4 计算的人口数为下限值。</w:t>
      </w:r>
    </w:p>
    <w:p>
      <w:pPr>
        <w:spacing w:line="500" w:lineRule="exact" w:before="0" w:after="0"/>
        <w:ind w:firstLineChars="200"/>
        <w:jc w:val="left"/>
      </w:pPr>
      <w:r>
        <w:rPr>
          <w:rFonts w:ascii="Times New Roman" w:hAnsi="Times New Roman" w:eastAsia="宋体"/>
          <w:sz w:val="24"/>
        </w:rPr>
        <w:t>（4）确定突发大气环境事件风险等级</w:t>
      </w:r>
    </w:p>
    <w:p>
      <w:pPr>
        <w:spacing w:line="500" w:lineRule="exact" w:before="0" w:after="0"/>
        <w:ind w:firstLineChars="200"/>
        <w:jc w:val="left"/>
      </w:pPr>
      <w:r>
        <w:rPr>
          <w:rFonts w:ascii="Times New Roman" w:hAnsi="Times New Roman" w:eastAsia="宋体"/>
          <w:sz w:val="24"/>
        </w:rPr>
        <w:t>按 HJ 941-2018 表 5（Q、M、E 三维矩阵）确定：Q = Q2，M = M3，E = E2，查得企业突发大气环境事件风险等级为“重大”，即“重大-大气（Q2-M3-E2）”。</w:t>
      </w:r>
    </w:p>
    <w:p>
      <w:pPr>
        <w:keepNext w:val="true"/>
        <w:spacing w:line="500" w:lineRule="exact" w:before="0" w:after="0"/>
        <w:jc w:val="center"/>
      </w:pPr>
      <w:r>
        <w:rPr>
          <w:rFonts w:ascii="宋体" w:hAnsi="宋体" w:eastAsia="宋体"/>
          <w:sz w:val="24"/>
          <w:b/>
        </w:rPr>
        <w:t>表7-5 突发大气环境事件风险等级划分表（Q-M-E 矩阵）</w:t>
      </w:r>
    </w:p>
    <w:tbl>
      <w:tblPr>
        <w:tblStyle w:val="TableGrid"/>
        <w:tblLook w:firstColumn="1" w:firstRow="1" w:lastColumn="0" w:lastRow="0" w:noHBand="0" w:noVBand="1" w:val="04A0"/>
        <w:tblW w:w="8221" w:type="dxa"/>
        <w:jc w:val="center"/>
        <w:tblInd w:w="0" w:type="dxa"/>
        <w:tblLayout w:type="fixed"/>
        <w:tblCellMar>
          <w:top w:w="0" w:type="dxa"/>
          <w:start w:w="108" w:type="dxa"/>
          <w:bottom w:w="0" w:type="dxa"/>
          <w:end w:w="108" w:type="dxa"/>
        </w:tblCellMar>
      </w:tblPr>
      <w:tblGrid>
        <w:gridCol w:w="913"/>
        <w:gridCol w:w="913"/>
        <w:gridCol w:w="1599"/>
        <w:gridCol w:w="1599"/>
        <w:gridCol w:w="1599"/>
        <w:gridCol w:w="1599"/>
      </w:tblGrid>
      <w:tr>
        <w:trPr>
          <w:cantSplit w:val="true"/>
          <w:trHeight w:val="320" w:hRule="atLeast"/>
          <w:tblHeader w:val="true"/>
        </w:trPr>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E 值</w:t>
            </w: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 值</w:t>
            </w:r>
          </w:p>
        </w:tc>
        <w:tc>
          <w:tcPr>
            <w:tcW w:w="159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M1</w:t>
            </w:r>
          </w:p>
        </w:tc>
        <w:tc>
          <w:tcPr>
            <w:tcW w:w="159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M2</w:t>
            </w:r>
          </w:p>
        </w:tc>
        <w:tc>
          <w:tcPr>
            <w:tcW w:w="159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M3</w:t>
            </w:r>
          </w:p>
        </w:tc>
        <w:tc>
          <w:tcPr>
            <w:tcW w:w="159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M4</w:t>
            </w:r>
          </w:p>
        </w:tc>
      </w:tr>
      <w:tr>
        <w:trPr>
          <w:cantSplit w:val="true"/>
          <w:trHeight w:val="320" w:hRule="atLeast"/>
        </w:trPr>
        <w:tc>
          <w:tcPr>
            <w:tcW w:w="913"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b/>
              </w:rPr>
              <w:t>E1</w:t>
            </w: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Q1</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Q2</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Q3</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b/>
              </w:rPr>
              <w:t>E2</w:t>
            </w: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Q1</w:t>
            </w:r>
          </w:p>
        </w:tc>
        <w:tc>
          <w:tcPr>
            <w:tcW w:w="1599" w:type="dxa"/>
            <w:tcBorders>
              <w:top w:val="single" w:sz="4" w:space="0" w:color="000000"/>
              <w:start w:val="single" w:sz="4" w:space="0" w:color="000000"/>
              <w:bottom w:val="single" w:sz="4" w:space="0" w:color="000000"/>
              <w:end w:val="single" w:sz="4" w:space="0" w:color="000000"/>
            </w:tcBorders>
            <w:vAlign w:val="center"/>
            <w:shd w:val="clear" w:fill="0000FF"/>
          </w:tcPr>
          <w:p>
            <w:pPr>
              <w:snapToGrid w:val="0"/>
              <w:spacing w:line="240" w:lineRule="exact" w:before="0" w:after="0"/>
              <w:ind/>
              <w:jc w:val="center"/>
            </w:pPr>
            <w:r>
              <w:rPr>
                <w:rFonts w:ascii="宋体" w:hAnsi="宋体" w:eastAsia="宋体"/>
                <w:color w:val="FFFFFF"/>
                <w:sz w:val="20"/>
              </w:rPr>
              <w:t>一般</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Q2</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shd w:val="clear" w:fill="FF0000"/>
            <w:shd w:val="clear" w:fill="FF0000"/>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b/>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Q3</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b/>
              </w:rPr>
              <w:t>E3</w:t>
            </w: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Q1</w:t>
            </w:r>
          </w:p>
        </w:tc>
        <w:tc>
          <w:tcPr>
            <w:tcW w:w="1599" w:type="dxa"/>
            <w:tcBorders>
              <w:top w:val="single" w:sz="4" w:space="0" w:color="000000"/>
              <w:start w:val="single" w:sz="4" w:space="0" w:color="000000"/>
              <w:bottom w:val="single" w:sz="4" w:space="0" w:color="000000"/>
              <w:end w:val="single" w:sz="4" w:space="0" w:color="000000"/>
            </w:tcBorders>
            <w:vAlign w:val="center"/>
            <w:shd w:val="clear" w:fill="0000FF"/>
          </w:tcPr>
          <w:p>
            <w:pPr>
              <w:snapToGrid w:val="0"/>
              <w:spacing w:line="240" w:lineRule="exact" w:before="0" w:after="0"/>
              <w:ind/>
              <w:jc w:val="center"/>
            </w:pPr>
            <w:r>
              <w:rPr>
                <w:rFonts w:ascii="宋体" w:hAnsi="宋体" w:eastAsia="宋体"/>
                <w:color w:val="FFFFFF"/>
                <w:sz w:val="20"/>
              </w:rPr>
              <w:t>一般</w:t>
            </w:r>
          </w:p>
        </w:tc>
        <w:tc>
          <w:tcPr>
            <w:tcW w:w="1599" w:type="dxa"/>
            <w:tcBorders>
              <w:top w:val="single" w:sz="4" w:space="0" w:color="000000"/>
              <w:start w:val="single" w:sz="4" w:space="0" w:color="000000"/>
              <w:bottom w:val="single" w:sz="4" w:space="0" w:color="000000"/>
              <w:end w:val="single" w:sz="4" w:space="0" w:color="000000"/>
            </w:tcBorders>
            <w:vAlign w:val="center"/>
            <w:shd w:val="clear" w:fill="0000FF"/>
          </w:tcPr>
          <w:p>
            <w:pPr>
              <w:snapToGrid w:val="0"/>
              <w:spacing w:line="240" w:lineRule="exact" w:before="0" w:after="0"/>
              <w:ind/>
              <w:jc w:val="center"/>
            </w:pPr>
            <w:r>
              <w:rPr>
                <w:rFonts w:ascii="宋体" w:hAnsi="宋体" w:eastAsia="宋体"/>
                <w:color w:val="FFFFFF"/>
                <w:sz w:val="20"/>
              </w:rPr>
              <w:t>一般</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Q2</w:t>
            </w:r>
          </w:p>
        </w:tc>
        <w:tc>
          <w:tcPr>
            <w:tcW w:w="1599" w:type="dxa"/>
            <w:tcBorders>
              <w:top w:val="single" w:sz="4" w:space="0" w:color="000000"/>
              <w:start w:val="single" w:sz="4" w:space="0" w:color="000000"/>
              <w:bottom w:val="single" w:sz="4" w:space="0" w:color="000000"/>
              <w:end w:val="single" w:sz="4" w:space="0" w:color="000000"/>
            </w:tcBorders>
            <w:vAlign w:val="center"/>
            <w:shd w:val="clear" w:fill="0000FF"/>
          </w:tcPr>
          <w:p>
            <w:pPr>
              <w:snapToGrid w:val="0"/>
              <w:spacing w:line="240" w:lineRule="exact" w:before="0" w:after="0"/>
              <w:ind/>
              <w:jc w:val="center"/>
            </w:pPr>
            <w:r>
              <w:rPr>
                <w:rFonts w:ascii="宋体" w:hAnsi="宋体" w:eastAsia="宋体"/>
                <w:color w:val="FFFFFF"/>
                <w:sz w:val="20"/>
              </w:rPr>
              <w:t>一般</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Q3</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bl>
    <w:p>
      <w:pPr>
        <w:spacing w:line="500" w:lineRule="exact" w:before="0" w:after="0"/>
        <w:ind w:firstLineChars="200"/>
        <w:jc w:val="left"/>
      </w:pPr>
      <w:r>
        <w:rPr>
          <w:rFonts w:ascii="Times New Roman" w:hAnsi="Times New Roman" w:eastAsia="宋体"/>
          <w:sz w:val="24"/>
        </w:rPr>
        <w:t>注：表中带“◆”的单元格为本企业涉气风险物质 Q 值（Q2）、M 值（M3）、E 值（E2）对应的突发大气环境事件风险等级。</w:t>
      </w:r>
    </w:p>
    <w:p>
      <w:pPr>
        <w:pStyle w:val="Heading2"/>
        <w:spacing w:line="500" w:lineRule="exact" w:before="0" w:after="0"/>
        <w:jc w:val="left"/>
        <w:outlineLvl w:val="1"/>
      </w:pPr>
      <w:bookmarkStart w:id="90036" w:name="_Toc90036"/>
      <w:r>
        <w:rPr>
          <w:rFonts w:ascii="Times New Roman" w:hAnsi="Times New Roman" w:eastAsia="宋体"/>
          <w:sz w:val="28"/>
          <w:b/>
        </w:rPr>
        <w:t>7.2 突发水环境事件风险分级</w:t>
      </w:r>
      <w:bookmarkEnd w:id="90036"/>
    </w:p>
    <w:p>
      <w:pPr>
        <w:spacing w:line="500" w:lineRule="exact" w:before="0" w:after="0"/>
        <w:ind w:firstLineChars="200"/>
        <w:jc w:val="left"/>
      </w:pPr>
      <w:r>
        <w:rPr>
          <w:rFonts w:ascii="Times New Roman" w:hAnsi="Times New Roman" w:eastAsia="宋体"/>
          <w:sz w:val="24"/>
        </w:rPr>
        <w:t>（1）计算涉水风险物质数量与临界量比值（Q）</w:t>
      </w:r>
    </w:p>
    <w:p>
      <w:pPr>
        <w:keepNext w:val="true"/>
        <w:spacing w:line="500" w:lineRule="exact" w:before="0" w:after="0"/>
        <w:jc w:val="center"/>
      </w:pPr>
      <w:r>
        <w:rPr>
          <w:rFonts w:ascii="宋体" w:hAnsi="宋体" w:eastAsia="宋体"/>
          <w:sz w:val="24"/>
          <w:b/>
        </w:rPr>
        <w:t>表7-6 企业涉水风险物质和临界量表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617"/>
        <w:gridCol w:w="2775"/>
        <w:gridCol w:w="1644"/>
        <w:gridCol w:w="1542"/>
        <w:gridCol w:w="1644"/>
      </w:tblGrid>
      <w:tr>
        <w:trPr>
          <w:cantSplit w:val="true"/>
          <w:trHeight w:val="320" w:hRule="atLeast"/>
          <w:tblHeader w:val="true"/>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风险物质名称</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最大存在量（t）</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临界量（t）</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Q值</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7.5000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二甲苯</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0.8000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乙酸乙酯</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0.5000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氨水</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0.2000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次氯酸钠</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0.4000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合计</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Q = 13.9000</w:t>
            </w:r>
          </w:p>
        </w:tc>
      </w:tr>
    </w:tbl>
    <w:p>
      <w:pPr>
        <w:spacing w:line="500" w:lineRule="exact" w:before="0" w:after="0"/>
        <w:ind w:firstLineChars="200"/>
        <w:jc w:val="left"/>
      </w:pPr>
      <w:r>
        <w:rPr>
          <w:rFonts w:ascii="Times New Roman" w:hAnsi="Times New Roman" w:eastAsia="宋体"/>
          <w:sz w:val="24"/>
        </w:rPr>
        <w:t>将上表中涉水风险物质数量与临界量比值相加，可得：Q = 13.9000，属于 Q2。</w:t>
      </w:r>
    </w:p>
    <w:p>
      <w:pPr>
        <w:spacing w:line="500" w:lineRule="exact" w:before="0" w:after="0"/>
        <w:ind w:firstLineChars="200"/>
        <w:jc w:val="left"/>
      </w:pPr>
      <w:r>
        <w:rPr>
          <w:rFonts w:ascii="Times New Roman" w:hAnsi="Times New Roman" w:eastAsia="宋体"/>
          <w:sz w:val="24"/>
        </w:rPr>
        <w:t>（2）评估生产工艺过程与环境风险控制水平（M）</w:t>
      </w:r>
    </w:p>
    <w:p>
      <w:pPr>
        <w:spacing w:line="500" w:lineRule="exact" w:before="0" w:after="0"/>
        <w:ind w:firstLineChars="200"/>
        <w:jc w:val="left"/>
      </w:pPr>
      <w:r>
        <w:rPr>
          <w:rFonts w:ascii="Times New Roman" w:hAnsi="Times New Roman" w:eastAsia="宋体"/>
          <w:sz w:val="24"/>
        </w:rPr>
        <w:t>按 HJ 941-2018 表 1 评估生产工艺过程（按工艺单元数计分，该部分合计封顶 30 分），按表 6 评估水环境风险防控措施及突发水环境事件发生情况（该部分合计最高 70 分），两部分得分相加即为水环境风险防控水平 M 值（满分 100 分）；M 值按标准表 3《M 值类型划分表》落入 M1～M4 区间，即确定本企业水环境事件风险的 M 型（见表7-3）。</w:t>
      </w:r>
    </w:p>
    <w:p>
      <w:pPr>
        <w:keepNext w:val="true"/>
        <w:spacing w:line="500" w:lineRule="exact" w:before="0" w:after="0"/>
        <w:jc w:val="center"/>
      </w:pPr>
      <w:r>
        <w:rPr>
          <w:rFonts w:ascii="宋体" w:hAnsi="宋体" w:eastAsia="宋体"/>
          <w:sz w:val="24"/>
          <w:b/>
        </w:rPr>
        <w:t>表7-7 企业生产工艺过程与环境风险控制水平（M）评分表（水）</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142"/>
        <w:gridCol w:w="514"/>
        <w:gridCol w:w="1941"/>
        <w:gridCol w:w="3483"/>
        <w:gridCol w:w="1142"/>
      </w:tblGrid>
      <w:tr>
        <w:trPr>
          <w:cantSplit w:val="true"/>
          <w:trHeight w:val="320" w:hRule="atLeast"/>
          <w:tblHeader w:val="true"/>
        </w:trPr>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评估项目</w:t>
            </w: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序号</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评估指标</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评估依据及分值</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得分</w:t>
            </w:r>
          </w:p>
        </w:tc>
      </w:tr>
      <w:tr>
        <w:trPr>
          <w:cantSplit w:val="true"/>
          <w:trHeight w:val="320" w:hRule="atLeast"/>
        </w:trPr>
        <w:tc>
          <w:tcPr>
            <w:tcW w:w="1142"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生产工艺过程</w:t>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1</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涉及重点监管危险化工工艺的工艺单元</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光气及光气化、电解（氯碱）、氯化、硝化、合成氨、裂解（裂化）、氟化、加氢、重氮化、氧化、过氧化、胺基化、磺化、聚合、烷基化、新型煤化工、电石生产、偶氮化工艺；按工艺单元数计，每套 10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0（0 套）</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2</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其他高温或高压、涉及易燃易爆等物质的工艺过程</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高温指工艺温度≥300℃，高压指压力容器设计压力≥10.0MPa；易燃易爆物质按 GB 30000.2～GB 30000.13 判定；按工艺单元数计，每套 5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10（2 套）</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3</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具有国家规定限期淘汰的工艺名录和设备</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《产业结构调整指导目录》中有淘汰期限的淘汰类落后生产工艺装备；按工艺单元数计，每套 5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0（0 套）</w:t>
            </w:r>
          </w:p>
        </w:tc>
      </w:tr>
      <w:tr>
        <w:trPr>
          <w:cantSplit w:val="true"/>
          <w:trHeight w:val="320" w:hRule="atLeast"/>
        </w:trPr>
        <w:tc>
          <w:tcPr>
            <w:tcW w:w="1142"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环境风险防控措施</w:t>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4</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截流措施</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环境风险单元设防渗漏、防腐蚀、防淋溶、防流失措施，排水切换阀与围堰（防火堤）符合要求且维护良好（0 分）；有任意一个环境风险单元（含危险废物贮存场所）的截流措施不符合要求（8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8</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5</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事故废水收集措施</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按规范设置应急事故水池（事故存液池、清净废水排放缓冲池）且容量、缓冲容量、去向均符合要求（0 分）；有任意一个环境风险单元的事故排水收集措施不符合要求（8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8</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6</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清净废水系统风险防控措施</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不涉及清净废水；或清净废水均可排入废水处理系统；或清污分流且缓冲池、总排口监视及关闭设施齐全（0 分）；涉及清净废水，有任意一个环境风险单元的清净废水系统风险防控措施不符合要求（8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0</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7</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雨水排水系统风险防控措施</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厂区内雨水均进入废水处理系统；或雨污分流且初期雨水收集池、总排口监视及关闭设施齐全（0 分）；雨水排水系统风险防控措施不符合要求（8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8</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8</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生产废水处理系统风险防控措施</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无生产废水产生或外排；或有外排且监控池、事故缓冲设施、总排口监视及关闭设施齐全（0 分）；涉及废水外排，且不符合标准所列任意一条要求（8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0</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9</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废水排放去向</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无生产废水产生或外排（0 分）；依法取得污水排入排水管网许可进入城镇污水处理厂；或进入工业废水集中处理厂；或进入其他单位（6 分）；直接进入海域或江、河、湖、库等水环境；或进入城市下水道再入水环境；或未依法取得许可进入城镇污水处理厂；或直接进入污灌农田或蒸发地（12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6</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10</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厂内危险废物环境管理</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不涉及危险废物（0 分）；针对危险废物分区贮存、运输、利用、处置具有完善的专业设施和风险防控措施（0 分）；不具备完善的危险废物贮存、运输、利用、处置设施和风险防控措施（10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0</w:t>
            </w:r>
          </w:p>
        </w:tc>
      </w:tr>
      <w:tr>
        <w:trPr>
          <w:cantSplit w:val="true"/>
          <w:trHeight w:val="320" w:hRule="atLeast"/>
        </w:trPr>
        <w:tc>
          <w:tcPr>
            <w:tcW w:w="1142" w:type="dxa"/>
            <w:vMerge/>
            <w:tcBorders>
              <w:top w:val="single" w:sz="4" w:space="0" w:color="000000"/>
              <w:start w:val="single" w:sz="4" w:space="0" w:color="000000"/>
              <w:bottom w:val="single" w:sz="4" w:space="0" w:color="000000"/>
              <w:end w:val="single" w:sz="4" w:space="0" w:color="000000"/>
            </w:tcBorders>
            <w:vAlign w:val="center"/>
          </w:tcPr>
          <w:p/>
        </w:tc>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11</w:t>
            </w:r>
          </w:p>
        </w:tc>
        <w:tc>
          <w:tcPr>
            <w:tcW w:w="194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近 3 年内突发水环境事件发生情况</w:t>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未发生突发水环境事件（0 分）；发生过一般等级突发水环境事件（4 分）；发生过较大等级突发水环境事件（6 分）；发生过特别重大及重大等级突发水环境事件（8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0</w:t>
            </w:r>
          </w:p>
        </w:tc>
      </w:tr>
      <w:tr>
        <w:trPr>
          <w:cantSplit w:val="true"/>
          <w:trHeight w:val="320" w:hRule="atLeast"/>
        </w:trPr>
        <w:tc>
          <w:tcPr>
            <w:tcW w:w="3597" w:type="dxa"/>
            <w:gridSpan w:val="3"/>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b/>
              </w:rPr>
              <w:t>M 值合计</w:t>
            </w:r>
          </w:p>
          <w:p>
            <w:pPr>
              <w:snapToGrid w:val="0"/>
              <w:spacing w:line="240" w:lineRule="exact" w:before="0" w:after="0"/>
              <w:ind/>
              <w:jc w:val="center"/>
            </w:pPr>
            <w:r>
              <w:rPr>
                <w:rFonts w:ascii="宋体" w:hAnsi="宋体" w:eastAsia="宋体"/>
                <w:sz w:val="20"/>
              </w:rPr>
            </w:r>
          </w:p>
          <w:p>
            <w:pPr>
              <w:snapToGrid w:val="0"/>
              <w:spacing w:line="240" w:lineRule="exact" w:before="0" w:after="0"/>
              <w:ind/>
              <w:jc w:val="center"/>
            </w:pPr>
            <w:r>
              <w:rPr>
                <w:rFonts w:ascii="宋体" w:hAnsi="宋体" w:eastAsia="宋体"/>
                <w:sz w:val="20"/>
              </w:rPr>
            </w:r>
          </w:p>
        </w:tc>
        <w:tc>
          <w:tcPr>
            <w:tcW w:w="34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生产工艺过程得分 10 ＋ 水环境风险防控措施得分（合计最高 100 分）</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b/>
              </w:rPr>
              <w:t>40（M2）</w:t>
            </w:r>
          </w:p>
        </w:tc>
      </w:tr>
    </w:tbl>
    <w:p>
      <w:pPr>
        <w:spacing w:line="500" w:lineRule="exact" w:before="0" w:after="0"/>
        <w:ind w:firstLineChars="200"/>
        <w:jc w:val="left"/>
      </w:pPr>
      <w:r>
        <w:rPr>
          <w:rFonts w:ascii="Times New Roman" w:hAnsi="Times New Roman" w:eastAsia="宋体"/>
          <w:sz w:val="24"/>
        </w:rPr>
        <w:t>M 值合计为 40 分，按 HJ 941-2018 表 3 属 M2 型。</w:t>
      </w:r>
    </w:p>
    <w:p>
      <w:pPr>
        <w:spacing w:line="500" w:lineRule="exact" w:before="0" w:after="0"/>
        <w:ind w:firstLineChars="200"/>
        <w:jc w:val="left"/>
      </w:pPr>
      <w:r>
        <w:rPr>
          <w:rFonts w:ascii="Times New Roman" w:hAnsi="Times New Roman" w:eastAsia="宋体"/>
          <w:sz w:val="24"/>
        </w:rPr>
        <w:t>（3）评估水环境风险受体敏感性（E）</w:t>
      </w:r>
    </w:p>
    <w:p>
      <w:pPr>
        <w:keepNext w:val="true"/>
        <w:spacing w:line="500" w:lineRule="exact" w:before="0" w:after="0"/>
        <w:jc w:val="center"/>
      </w:pPr>
      <w:r>
        <w:rPr>
          <w:rFonts w:ascii="宋体" w:hAnsi="宋体" w:eastAsia="宋体"/>
          <w:sz w:val="24"/>
          <w:b/>
        </w:rPr>
        <w:t>表7-8 水环境风险受体敏感性（E）判定表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028"/>
        <w:gridCol w:w="6052"/>
        <w:gridCol w:w="1142"/>
      </w:tblGrid>
      <w:tr>
        <w:trPr>
          <w:cantSplit w:val="true"/>
          <w:trHeight w:val="320" w:hRule="atLeast"/>
          <w:tblHeader w:val="true"/>
        </w:trPr>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类型</w:t>
            </w:r>
          </w:p>
        </w:tc>
        <w:tc>
          <w:tcPr>
            <w:tcW w:w="60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判定依据</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判定结果</w:t>
            </w:r>
          </w:p>
        </w:tc>
      </w:tr>
      <w:tr>
        <w:trPr>
          <w:cantSplit w:val="true"/>
          <w:trHeight w:val="320" w:hRule="atLeast"/>
        </w:trPr>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调查情况</w:t>
            </w:r>
          </w:p>
        </w:tc>
        <w:tc>
          <w:tcPr>
            <w:tcW w:w="60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据第 2.6 节表 2-4「企业周边环境风险受体」：类型 1：某镇集中供水水源井（饮用水源，8000 米，地下水井群，位于某河下游10公里范围内），命中“水源井”；类型 2：某河（厂区西侧1.2公里）（地表水体，1200 米，下游10公里涉及基本农田保护区；园区污水处理厂尾水受纳水体），命中“基本农田”；【请核实】表 2-4 推导为「level1」，网页填报为「level2」，两者不一致，按 HJ 941-2018 表 7 就高采用「level1」</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w:t>
            </w:r>
          </w:p>
        </w:tc>
      </w:tr>
      <w:tr>
        <w:trPr>
          <w:cantSplit w:val="true"/>
          <w:trHeight w:val="320" w:hRule="atLeast"/>
        </w:trPr>
        <w:tc>
          <w:tcPr>
            <w:tcW w:w="1028" w:type="dxa"/>
            <w:shd w:val="clear" w:fill="F2F2F2"/>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E1</w:t>
            </w:r>
          </w:p>
        </w:tc>
        <w:tc>
          <w:tcPr>
            <w:tcW w:w="60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企业雨水排口、清净废水排口、污水排口下游 10 公里流经范围内涉及集中式地表水、地下水饮用水水源保护区（一级、二级保护区及准保护区）或农村及分散式饮用水水源保护区；或废水排入受纳水体后 24 小时流经范围（按受纳河流最大日均流速计算）内涉及跨国界</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是</w:t>
            </w:r>
          </w:p>
        </w:tc>
      </w:tr>
      <w:tr>
        <w:trPr>
          <w:cantSplit w:val="true"/>
          <w:trHeight w:val="320" w:hRule="atLeast"/>
        </w:trPr>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E2</w:t>
            </w:r>
          </w:p>
        </w:tc>
        <w:tc>
          <w:tcPr>
            <w:tcW w:w="60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下游 10 公里流经范围内涉及生态保护红线划定区域或具有水生态服务功能的其他水生态环境敏感区和脆弱区（国家公园、水产种质资源保护区、水产养殖区、天然渔场、海水浴场、盐场保护区、国家重要湿地、海洋特别保护区、海洋自然保护区、生物多样性保护优先区域、自然保护区、风景名胜区、世界文化和自然遗产地、森林公园、地质公园、基本农田保护区、基本草原）；或涉及跨省界；或企业位于溶岩地貌、泄洪区、泥石流多发等地区</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E3</w:t>
            </w:r>
          </w:p>
        </w:tc>
        <w:tc>
          <w:tcPr>
            <w:tcW w:w="605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不涉及类型 1 和类型 2 情况的</w:t>
            </w:r>
          </w:p>
        </w:tc>
        <w:tc>
          <w:tcPr>
            <w:tcW w:w="11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bl>
    <w:p>
      <w:pPr>
        <w:spacing w:line="500" w:lineRule="exact" w:before="0" w:after="0"/>
        <w:ind w:firstLineChars="200"/>
        <w:jc w:val="left"/>
      </w:pPr>
      <w:r>
        <w:rPr>
          <w:rFonts w:ascii="Times New Roman" w:hAnsi="Times New Roman" w:eastAsia="宋体"/>
          <w:sz w:val="24"/>
        </w:rPr>
        <w:t>上表判据全部取自第 2.6 节表 2-4「企业周边环境风险受体」，两者一一对应；凡在表 2-4 中列明的水环境敏感目标，均按 HJ 941-2018 表 7 就高判定，不因填报口径不同而降级。</w:t>
      </w:r>
    </w:p>
    <w:p>
      <w:pPr>
        <w:spacing w:line="500" w:lineRule="exact" w:before="0" w:after="0"/>
        <w:ind w:firstLineChars="200"/>
        <w:jc w:val="left"/>
      </w:pPr>
      <w:r>
        <w:rPr>
          <w:rFonts w:ascii="Times New Roman" w:hAnsi="Times New Roman" w:eastAsia="宋体"/>
          <w:sz w:val="24"/>
        </w:rPr>
        <w:t>（4）确定突发水环境事件风险等级</w:t>
      </w:r>
    </w:p>
    <w:p>
      <w:pPr>
        <w:spacing w:line="500" w:lineRule="exact" w:before="0" w:after="0"/>
        <w:ind w:firstLineChars="200"/>
        <w:jc w:val="left"/>
      </w:pPr>
      <w:r>
        <w:rPr>
          <w:rFonts w:ascii="Times New Roman" w:hAnsi="Times New Roman" w:eastAsia="宋体"/>
          <w:sz w:val="24"/>
        </w:rPr>
        <w:t>按 HJ 941-2018 表 5（Q、M、E 三维矩阵）确定：Q = Q2，M = M2，E = E1，查得企业突发水环境事件风险等级为“重大”，即“重大-水（Q2-M2-E1）”。</w:t>
      </w:r>
    </w:p>
    <w:p>
      <w:pPr>
        <w:keepNext w:val="true"/>
        <w:spacing w:line="500" w:lineRule="exact" w:before="0" w:after="0"/>
        <w:jc w:val="center"/>
      </w:pPr>
      <w:r>
        <w:rPr>
          <w:rFonts w:ascii="宋体" w:hAnsi="宋体" w:eastAsia="宋体"/>
          <w:sz w:val="24"/>
          <w:b/>
        </w:rPr>
        <w:t>表7-9 突发水环境事件风险等级划分表（Q-M-E 矩阵）</w:t>
      </w:r>
    </w:p>
    <w:tbl>
      <w:tblPr>
        <w:tblStyle w:val="TableGrid"/>
        <w:tblLook w:firstColumn="1" w:firstRow="1" w:lastColumn="0" w:lastRow="0" w:noHBand="0" w:noVBand="1" w:val="04A0"/>
        <w:tblW w:w="8221" w:type="dxa"/>
        <w:jc w:val="center"/>
        <w:tblInd w:w="0" w:type="dxa"/>
        <w:tblLayout w:type="fixed"/>
        <w:tblCellMar>
          <w:top w:w="0" w:type="dxa"/>
          <w:start w:w="108" w:type="dxa"/>
          <w:bottom w:w="0" w:type="dxa"/>
          <w:end w:w="108" w:type="dxa"/>
        </w:tblCellMar>
      </w:tblPr>
      <w:tblGrid>
        <w:gridCol w:w="913"/>
        <w:gridCol w:w="913"/>
        <w:gridCol w:w="1599"/>
        <w:gridCol w:w="1599"/>
        <w:gridCol w:w="1599"/>
        <w:gridCol w:w="1599"/>
      </w:tblGrid>
      <w:tr>
        <w:trPr>
          <w:cantSplit w:val="true"/>
          <w:trHeight w:val="320" w:hRule="atLeast"/>
          <w:tblHeader w:val="true"/>
        </w:trPr>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E 值</w:t>
            </w: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 值</w:t>
            </w:r>
          </w:p>
        </w:tc>
        <w:tc>
          <w:tcPr>
            <w:tcW w:w="159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M1</w:t>
            </w:r>
          </w:p>
        </w:tc>
        <w:tc>
          <w:tcPr>
            <w:tcW w:w="159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M2</w:t>
            </w:r>
          </w:p>
        </w:tc>
        <w:tc>
          <w:tcPr>
            <w:tcW w:w="159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M3</w:t>
            </w:r>
          </w:p>
        </w:tc>
        <w:tc>
          <w:tcPr>
            <w:tcW w:w="159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M4</w:t>
            </w:r>
          </w:p>
        </w:tc>
      </w:tr>
      <w:tr>
        <w:trPr>
          <w:cantSplit w:val="true"/>
          <w:trHeight w:val="320" w:hRule="atLeast"/>
        </w:trPr>
        <w:tc>
          <w:tcPr>
            <w:tcW w:w="913"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b/>
              </w:rPr>
              <w:t>E1</w:t>
            </w: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Q1</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Q2</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shd w:val="clear" w:fill="FF0000"/>
            <w:shd w:val="clear" w:fill="FF0000"/>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b/>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Q3</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b/>
              </w:rPr>
              <w:t>E2</w:t>
            </w: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Q1</w:t>
            </w:r>
          </w:p>
        </w:tc>
        <w:tc>
          <w:tcPr>
            <w:tcW w:w="1599" w:type="dxa"/>
            <w:tcBorders>
              <w:top w:val="single" w:sz="4" w:space="0" w:color="000000"/>
              <w:start w:val="single" w:sz="4" w:space="0" w:color="000000"/>
              <w:bottom w:val="single" w:sz="4" w:space="0" w:color="000000"/>
              <w:end w:val="single" w:sz="4" w:space="0" w:color="000000"/>
            </w:tcBorders>
            <w:vAlign w:val="center"/>
            <w:shd w:val="clear" w:fill="0000FF"/>
          </w:tcPr>
          <w:p>
            <w:pPr>
              <w:snapToGrid w:val="0"/>
              <w:spacing w:line="240" w:lineRule="exact" w:before="0" w:after="0"/>
              <w:ind/>
              <w:jc w:val="center"/>
            </w:pPr>
            <w:r>
              <w:rPr>
                <w:rFonts w:ascii="宋体" w:hAnsi="宋体" w:eastAsia="宋体"/>
                <w:color w:val="FFFFFF"/>
                <w:sz w:val="20"/>
              </w:rPr>
              <w:t>一般</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Q2</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Q3</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val="restart"/>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b/>
              </w:rPr>
              <w:t>E3</w:t>
            </w: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Q1</w:t>
            </w:r>
          </w:p>
        </w:tc>
        <w:tc>
          <w:tcPr>
            <w:tcW w:w="1599" w:type="dxa"/>
            <w:tcBorders>
              <w:top w:val="single" w:sz="4" w:space="0" w:color="000000"/>
              <w:start w:val="single" w:sz="4" w:space="0" w:color="000000"/>
              <w:bottom w:val="single" w:sz="4" w:space="0" w:color="000000"/>
              <w:end w:val="single" w:sz="4" w:space="0" w:color="000000"/>
            </w:tcBorders>
            <w:vAlign w:val="center"/>
            <w:shd w:val="clear" w:fill="0000FF"/>
          </w:tcPr>
          <w:p>
            <w:pPr>
              <w:snapToGrid w:val="0"/>
              <w:spacing w:line="240" w:lineRule="exact" w:before="0" w:after="0"/>
              <w:ind/>
              <w:jc w:val="center"/>
            </w:pPr>
            <w:r>
              <w:rPr>
                <w:rFonts w:ascii="宋体" w:hAnsi="宋体" w:eastAsia="宋体"/>
                <w:color w:val="FFFFFF"/>
                <w:sz w:val="20"/>
              </w:rPr>
              <w:t>一般</w:t>
            </w:r>
          </w:p>
        </w:tc>
        <w:tc>
          <w:tcPr>
            <w:tcW w:w="1599" w:type="dxa"/>
            <w:tcBorders>
              <w:top w:val="single" w:sz="4" w:space="0" w:color="000000"/>
              <w:start w:val="single" w:sz="4" w:space="0" w:color="000000"/>
              <w:bottom w:val="single" w:sz="4" w:space="0" w:color="000000"/>
              <w:end w:val="single" w:sz="4" w:space="0" w:color="000000"/>
            </w:tcBorders>
            <w:vAlign w:val="center"/>
            <w:shd w:val="clear" w:fill="0000FF"/>
          </w:tcPr>
          <w:p>
            <w:pPr>
              <w:snapToGrid w:val="0"/>
              <w:spacing w:line="240" w:lineRule="exact" w:before="0" w:after="0"/>
              <w:ind/>
              <w:jc w:val="center"/>
            </w:pPr>
            <w:r>
              <w:rPr>
                <w:rFonts w:ascii="宋体" w:hAnsi="宋体" w:eastAsia="宋体"/>
                <w:color w:val="FFFFFF"/>
                <w:sz w:val="20"/>
              </w:rPr>
              <w:t>一般</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Q2</w:t>
            </w:r>
          </w:p>
        </w:tc>
        <w:tc>
          <w:tcPr>
            <w:tcW w:w="1599" w:type="dxa"/>
            <w:tcBorders>
              <w:top w:val="single" w:sz="4" w:space="0" w:color="000000"/>
              <w:start w:val="single" w:sz="4" w:space="0" w:color="000000"/>
              <w:bottom w:val="single" w:sz="4" w:space="0" w:color="000000"/>
              <w:end w:val="single" w:sz="4" w:space="0" w:color="000000"/>
            </w:tcBorders>
            <w:vAlign w:val="center"/>
            <w:shd w:val="clear" w:fill="0000FF"/>
          </w:tcPr>
          <w:p>
            <w:pPr>
              <w:snapToGrid w:val="0"/>
              <w:spacing w:line="240" w:lineRule="exact" w:before="0" w:after="0"/>
              <w:ind/>
              <w:jc w:val="center"/>
            </w:pPr>
            <w:r>
              <w:rPr>
                <w:rFonts w:ascii="宋体" w:hAnsi="宋体" w:eastAsia="宋体"/>
                <w:color w:val="FFFFFF"/>
                <w:sz w:val="20"/>
              </w:rPr>
              <w:t>一般</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r>
        <w:trPr>
          <w:cantSplit w:val="true"/>
          <w:trHeight w:val="320" w:hRule="atLeast"/>
        </w:trPr>
        <w:tc>
          <w:tcPr>
            <w:tcW w:w="913" w:type="dxa"/>
            <w:vMerge/>
            <w:tcBorders>
              <w:top w:val="single" w:sz="4" w:space="0" w:color="000000"/>
              <w:start w:val="single" w:sz="4" w:space="0" w:color="000000"/>
              <w:bottom w:val="single" w:sz="4" w:space="0" w:color="000000"/>
              <w:end w:val="single" w:sz="4" w:space="0" w:color="000000"/>
            </w:tcBorders>
            <w:vAlign w:val="center"/>
          </w:tcPr>
          <w:p/>
        </w:tc>
        <w:tc>
          <w:tcPr>
            <w:tcW w:w="91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0"/>
              </w:rPr>
              <w:t>Q3</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FF00"/>
          </w:tcPr>
          <w:p>
            <w:pPr>
              <w:snapToGrid w:val="0"/>
              <w:spacing w:line="240" w:lineRule="exact" w:before="0" w:after="0"/>
              <w:ind/>
              <w:jc w:val="center"/>
            </w:pPr>
            <w:r>
              <w:rPr>
                <w:rFonts w:ascii="宋体" w:hAnsi="宋体" w:eastAsia="宋体"/>
                <w:sz w:val="20"/>
              </w:rPr>
              <w:t>较大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c>
          <w:tcPr>
            <w:tcW w:w="1599" w:type="dxa"/>
            <w:tcBorders>
              <w:top w:val="single" w:sz="4" w:space="0" w:color="000000"/>
              <w:start w:val="single" w:sz="4" w:space="0" w:color="000000"/>
              <w:bottom w:val="single" w:sz="4" w:space="0" w:color="000000"/>
              <w:end w:val="single" w:sz="4" w:space="0" w:color="000000"/>
            </w:tcBorders>
            <w:vAlign w:val="center"/>
            <w:shd w:val="clear" w:fill="FF0000"/>
          </w:tcPr>
          <w:p>
            <w:pPr>
              <w:snapToGrid w:val="0"/>
              <w:spacing w:line="240" w:lineRule="exact" w:before="0" w:after="0"/>
              <w:ind/>
              <w:jc w:val="center"/>
            </w:pPr>
            <w:r>
              <w:rPr>
                <w:rFonts w:ascii="宋体" w:hAnsi="宋体" w:eastAsia="宋体"/>
                <w:sz w:val="20"/>
              </w:rPr>
              <w:t>重大</w:t>
            </w:r>
          </w:p>
        </w:tc>
      </w:tr>
    </w:tbl>
    <w:p>
      <w:pPr>
        <w:spacing w:line="500" w:lineRule="exact" w:before="0" w:after="0"/>
        <w:ind w:firstLineChars="200"/>
        <w:jc w:val="left"/>
      </w:pPr>
      <w:r>
        <w:rPr>
          <w:rFonts w:ascii="Times New Roman" w:hAnsi="Times New Roman" w:eastAsia="宋体"/>
          <w:sz w:val="24"/>
        </w:rPr>
        <w:t>注：表中带“◆”的单元格为本企业涉水风险物质 Q 值（Q2）、M 值（M2）、E 值（E1）对应的突发水环境事件风险等级。</w:t>
      </w:r>
    </w:p>
    <w:p>
      <w:pPr>
        <w:pStyle w:val="Heading2"/>
        <w:spacing w:line="500" w:lineRule="exact" w:before="0" w:after="0"/>
        <w:jc w:val="left"/>
        <w:outlineLvl w:val="1"/>
      </w:pPr>
      <w:bookmarkStart w:id="90037" w:name="_Toc90037"/>
      <w:r>
        <w:rPr>
          <w:rFonts w:ascii="Times New Roman" w:hAnsi="Times New Roman" w:eastAsia="宋体"/>
          <w:sz w:val="28"/>
          <w:b/>
        </w:rPr>
        <w:t>7.3 企业突发环境事件风险等级确定与调整</w:t>
      </w:r>
      <w:bookmarkEnd w:id="90037"/>
    </w:p>
    <w:p>
      <w:pPr>
        <w:spacing w:line="500" w:lineRule="exact" w:before="0" w:after="0"/>
        <w:ind w:firstLineChars="200"/>
        <w:jc w:val="left"/>
      </w:pPr>
      <w:r>
        <w:rPr>
          <w:rFonts w:ascii="Times New Roman" w:hAnsi="Times New Roman" w:eastAsia="宋体"/>
          <w:sz w:val="24"/>
        </w:rPr>
        <w:t>企业近三年无因排放污染物、非法转移处置危险废物等行为受到生态环境主管部门处罚，按 HJ 941-2018 第 8.2 条的规定，无需进行环境风险等级调整。</w:t>
      </w:r>
    </w:p>
    <w:p>
      <w:pPr>
        <w:spacing w:line="500" w:lineRule="exact" w:before="0" w:after="0"/>
        <w:ind w:firstLineChars="200"/>
        <w:jc w:val="left"/>
      </w:pPr>
      <w:r>
        <w:rPr>
          <w:rFonts w:ascii="Times New Roman" w:hAnsi="Times New Roman" w:eastAsia="宋体"/>
          <w:sz w:val="24"/>
        </w:rPr>
        <w:t>根据企业突发大气和水环境事件风险等级，两者不一致时以等级高者确定，确定企业突发环境事件风险等级为重大，表示为“重大</w:t>
      </w:r>
      <w:r>
        <w:rPr>
          <w:rFonts w:ascii="Times New Roman" w:hAnsi="Times New Roman" w:eastAsia="宋体"/>
          <w:sz w:val="24"/>
        </w:rPr>
        <w:t>[重大-大气（Q2-M3-E2）+重大-水（Q2-M2-E1）]</w:t>
      </w:r>
      <w:r>
        <w:rPr>
          <w:rFonts w:ascii="Times New Roman" w:hAnsi="Times New Roman" w:eastAsia="宋体"/>
          <w:sz w:val="24"/>
        </w:rPr>
        <w:t>”。</w:t>
      </w:r>
    </w:p>
    <w:p>
      <w:pPr>
        <w:keepNext w:val="true"/>
        <w:spacing w:line="500" w:lineRule="exact" w:before="0" w:after="0"/>
        <w:jc w:val="center"/>
      </w:pPr>
      <w:r>
        <w:rPr>
          <w:rFonts w:ascii="宋体" w:hAnsi="宋体" w:eastAsia="宋体"/>
          <w:sz w:val="24"/>
          <w:b/>
        </w:rPr>
        <w:t>表7-10 企业突发环境事件风险等级</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3597"/>
        <w:gridCol w:w="2055"/>
        <w:gridCol w:w="2569"/>
      </w:tblGrid>
      <w:tr>
        <w:trPr>
          <w:cantSplit w:val="true"/>
          <w:trHeight w:val="320" w:hRule="atLeast"/>
          <w:tblHeader w:val="true"/>
        </w:trPr>
        <w:tc>
          <w:tcPr>
            <w:tcW w:w="359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企业突发环境事件风险等级</w:t>
            </w:r>
          </w:p>
        </w:tc>
        <w:tc>
          <w:tcPr>
            <w:tcW w:w="205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标识颜色</w:t>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色号</w:t>
            </w:r>
          </w:p>
        </w:tc>
      </w:tr>
      <w:tr>
        <w:trPr>
          <w:cantSplit w:val="true"/>
          <w:trHeight w:val="320" w:hRule="atLeast"/>
        </w:trPr>
        <w:tc>
          <w:tcPr>
            <w:tcW w:w="3597" w:type="dxa"/>
            <w:shd w:val="clear" w:fill="FF0000"/>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b/>
              </w:rPr>
              <w:t>重大</w:t>
            </w:r>
          </w:p>
        </w:tc>
        <w:tc>
          <w:tcPr>
            <w:tcW w:w="205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红色</w:t>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#FF0000</w:t>
            </w:r>
          </w:p>
        </w:tc>
      </w:tr>
    </w:tbl>
    <w:p>
      <w:pPr>
        <w:pStyle w:val="Heading1"/>
        <w:spacing w:line="500" w:lineRule="exact" w:before="0" w:after="0"/>
        <w:jc w:val="left"/>
        <w:outlineLvl w:val="0"/>
      </w:pPr>
      <w:bookmarkStart w:id="90038" w:name="_Toc90038"/>
      <w:r>
        <w:rPr>
          <w:rFonts w:ascii="Times New Roman" w:hAnsi="Times New Roman" w:eastAsia="宋体"/>
          <w:sz w:val="30"/>
          <w:b/>
        </w:rPr>
        <w:t>8 附件、附图</w:t>
      </w:r>
      <w:bookmarkEnd w:id="90038"/>
    </w:p>
    <w:p>
      <w:pPr>
        <w:spacing w:line="500" w:lineRule="exact" w:before="0" w:after="0"/>
        <w:ind w:firstLineChars="200"/>
        <w:jc w:val="left"/>
      </w:pPr>
      <w:r>
        <w:rPr>
          <w:rFonts w:ascii="Times New Roman" w:hAnsi="Times New Roman" w:eastAsia="宋体"/>
          <w:sz w:val="24"/>
        </w:rPr>
        <w:t>附件1：营业执照</w:t>
      </w:r>
    </w:p>
    <w:p>
      <w:pPr>
        <w:spacing w:line="500" w:lineRule="exact" w:before="0" w:after="0"/>
        <w:ind w:firstLineChars="200"/>
        <w:jc w:val="left"/>
      </w:pPr>
      <w:r>
        <w:rPr>
          <w:rFonts w:ascii="Times New Roman" w:hAnsi="Times New Roman" w:eastAsia="宋体"/>
          <w:sz w:val="24"/>
        </w:rPr>
        <w:t>附件2：土地租赁协议/不动产权证</w:t>
      </w:r>
    </w:p>
    <w:p>
      <w:pPr>
        <w:spacing w:line="500" w:lineRule="exact" w:before="0" w:after="0"/>
        <w:ind w:firstLineChars="200"/>
        <w:jc w:val="left"/>
      </w:pPr>
      <w:r>
        <w:rPr>
          <w:rFonts w:ascii="Times New Roman" w:hAnsi="Times New Roman" w:eastAsia="宋体"/>
          <w:sz w:val="24"/>
        </w:rPr>
        <w:t>附图1：地理位置图</w:t>
      </w:r>
    </w:p>
    <w:p>
      <w:pPr>
        <w:spacing w:line="500" w:lineRule="exact" w:before="0" w:after="0"/>
        <w:ind w:firstLineChars="200"/>
        <w:jc w:val="left"/>
      </w:pPr>
      <w:r>
        <w:rPr>
          <w:rFonts w:ascii="Times New Roman" w:hAnsi="Times New Roman" w:eastAsia="宋体"/>
          <w:sz w:val="24"/>
        </w:rPr>
        <w:t>附图2：周边敏感点分布图</w:t>
      </w:r>
    </w:p>
    <w:p>
      <w:pPr>
        <w:spacing w:line="500" w:lineRule="exact" w:before="0" w:after="0"/>
        <w:ind w:firstLineChars="200"/>
        <w:jc w:val="left"/>
      </w:pPr>
      <w:r>
        <w:rPr>
          <w:rFonts w:ascii="Times New Roman" w:hAnsi="Times New Roman" w:eastAsia="宋体"/>
          <w:sz w:val="24"/>
        </w:rPr>
        <w:t>附图3：厂区应急疏散路线图</w:t>
      </w:r>
    </w:p>
    <w:p>
      <w:pPr>
        <w:spacing w:line="500" w:lineRule="exact" w:before="0" w:after="0"/>
        <w:ind w:firstLineChars="200"/>
        <w:jc w:val="left"/>
      </w:pPr>
      <w:r>
        <w:rPr>
          <w:rFonts w:ascii="Times New Roman" w:hAnsi="Times New Roman" w:eastAsia="宋体"/>
          <w:sz w:val="24"/>
        </w:rPr>
        <w:t>附图4：厂区雨、污排水系统图</w:t>
      </w:r>
    </w:p>
    <w:p>
      <w:pPr>
        <w:spacing w:line="500" w:lineRule="exact" w:before="0" w:after="0"/>
        <w:ind w:firstLineChars="200"/>
        <w:jc w:val="left"/>
      </w:pPr>
      <w:r>
        <w:rPr>
          <w:rFonts w:ascii="Times New Roman" w:hAnsi="Times New Roman" w:eastAsia="宋体"/>
          <w:sz w:val="24"/>
        </w:rPr>
        <w:t>附图5：厂区应急设施（备）、应急物资储备分布图</w:t>
      </w:r>
    </w:p>
    <w:sectPr w:rsidR="00FC693F" w:rsidRPr="0006063C" w:rsidSect="00034616">
      <w:headerReference w:type="default" r:id="rId11"/>
      <w:footerReference w:type="default" r:id="rId12"/>
      <w:pgSz w:w="11906" w:h="16838"/>
      <w:pgMar w:top="1440" w:right="1797" w:bottom="1440" w:left="1797" w:header="851" w:footer="1354" w:gutter="0"/>
      <w:cols w:space="720"/>
      <w:docGrid w:type="lines" w:linePitch="312" w:charSpace="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宋体">
    <w:panose1 w:val="02010600030101010101"/>
    <w:charset w:val="86"/>
    <w:family w:val="auto"/>
    <w:pitch w:val="variable"/>
    <w:sig w:usb0="00000003" w:usb1="080E0000" w:usb2="00000010" w:usb3="00000000" w:csb0="00040001" w:csb1="00000000"/>
  </w:font>
  <w:font w:name="黑体">
    <w:panose1 w:val="02010609060101010101"/>
    <w:charset w:val="86"/>
    <w:family w:val="auto"/>
    <w:pitch w:val="variable"/>
    <w:sig w:usb0="800002BF" w:usb1="38CF7CFA" w:usb2="00000016" w:usb3="00000000" w:csb0="00040001"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spacing w:before="0" w:after="96" w:line="240" w:lineRule="auto"/>
      <w:jc w:val="center"/>
      <w:rPr>
        <w:rFonts w:ascii="Times New Roman" w:hAnsi="Times New Roman" w:cs="Times New Roman" w:eastAsia="宋体"/>
        <w:sz w:val="18"/>
        <w:szCs w:val="18"/>
      </w:rPr>
    </w:pPr>
    <w:r>
      <w:rPr>
        <w:rFonts w:ascii="Times New Roman" w:hAnsi="Times New Roman" w:eastAsia="宋体"/>
        <w:sz w:val="18"/>
      </w:rPr>
      <w:fldChar w:fldCharType="begin"/>
    </w:r>
    <w:r>
      <w:rPr>
        <w:rFonts w:ascii="Times New Roman" w:hAnsi="Times New Roman" w:eastAsia="宋体"/>
        <w:sz w:val="18"/>
      </w:rPr>
      <w:instrText xml:space="preserve"> PAGE   \* MERGEFORMAT </w:instrText>
    </w:r>
    <w:r>
      <w:rPr>
        <w:rFonts w:ascii="Times New Roman" w:hAnsi="Times New Roman" w:eastAsia="宋体"/>
        <w:sz w:val="18"/>
      </w:rPr>
      <w:fldChar w:fldCharType="separate"/>
    </w:r>
    <w:r>
      <w:rPr>
        <w:rFonts w:ascii="Times New Roman" w:hAnsi="Times New Roman" w:eastAsia="宋体"/>
        <w:sz w:val="18"/>
      </w:rPr>
      <w:t>1</w:t>
    </w:r>
    <w:r>
      <w:rPr>
        <w:rFonts w:ascii="Times New Roman" w:hAnsi="Times New Roman" w:eastAsia="宋体"/>
        <w:sz w:val="18"/>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updateFields w:val="tru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imes New Roman" w:hAnsi="Times New Roman" w:eastAsia="黑体" w:cs="Times New Roman"/>
      <w:b/>
      <w:bCs/>
      <w:sz w:val="36"/>
      <w:szCs w:val="36"/>
      <w:color w:val="000000"/>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imes New Roman" w:hAnsi="Times New Roman" w:eastAsia="黑体" w:cs="Times New Roman"/>
      <w:b/>
      <w:bCs/>
      <w:sz w:val="30"/>
      <w:szCs w:val="30"/>
      <w:color w:val="000000"/>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imes New Roman" w:hAnsi="Times New Roman" w:eastAsia="黑体" w:cs="Times New Roman"/>
      <w:b/>
      <w:bCs/>
      <w:sz w:val="26"/>
      <w:szCs w:val="26"/>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宋体" w:hAnsi="Times New Roman" w:cs="Times New Roman"/>
      <w:sz w:val="20"/>
      <w:szCs w:val="20"/>
    </w:rPr>
  </w:style>
  <w:style w:type="character" w:customStyle="1" w:styleId="MacroTextChar">
    <w:name w:val="Macro Text Char"/>
    <w:basedOn w:val="DefaultParagraphFont"/>
    <w:link w:val="MacroText"/>
    <w:uiPriority w:val="99"/>
    <w:rsid w:val="0029639D"/>
    <w:rPr>
      <w:rFonts w:ascii="Times New Roman" w:eastAsia="宋体" w:hAnsi="Times New Roman" w:cs="Times New Roman"/>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pPr>
      <w:tabs>
        <w:tab w:val="clear" w:pos="420"/>
        <w:tab w:val="right" w:pos="8256" w:leader="dot"/>
      </w:tabs>
      <w:spacing w:lineRule="exact" w:line="500"/>
    </w:pPr>
    <w:rPr>
      <w:rFonts w:ascii="Times New Roman" w:hAnsi="Times New Roman" w:cs="Times New Roman" w:eastAsia="宋体"/>
      <w:b/>
      <w:sz w:val="24"/>
      <w:szCs w:val="24"/>
    </w:rPr>
  </w:style>
  <w:style w:type="paragraph" w:styleId="TOC2">
    <w:name w:val="toc 2"/>
    <w:pPr>
      <w:tabs>
        <w:tab w:val="clear" w:pos="420"/>
        <w:tab w:val="right" w:pos="8256" w:leader="dot"/>
      </w:tabs>
      <w:spacing w:lineRule="exact" w:line="500"/>
    </w:pPr>
    <w:rPr>
      <w:rFonts w:ascii="Times New Roman" w:hAnsi="Times New Roman" w:cs="Times New Roman" w:eastAsia="宋体"/>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宋体" w:hAnsi="Times New Roman" w:cs="Times New Roman"/>
      <w:sz w:val="20"/>
      <w:szCs w:val="20"/>
    </w:rPr>
  </w:style>
  <w:style w:type="character" w:customStyle="1" w:styleId="MacroTextChar">
    <w:name w:val="Macro Text Char"/>
    <w:basedOn w:val="DefaultParagraphFont"/>
    <w:link w:val="MacroText"/>
    <w:uiPriority w:val="99"/>
    <w:rsid w:val="0029639D"/>
    <w:rPr>
      <w:rFonts w:ascii="Times New Roman" w:eastAsia="宋体" w:hAnsi="Times New Roman" w:cs="Times New Roman"/>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宋体"/>
        <a:cs typeface="Times New Roman"/>
        <a:font script="Hans" typeface="宋体"/>
      </a:majorFont>
      <a:minorFont>
        <a:latin typeface="Times New Roman"/>
        <a:ea typeface="宋体"/>
        <a:cs typeface="Times New Roman"/>
        <a:font script="Hans" typeface="宋体"/>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