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500" w:lineRule="exact" w:before="0" w:after="0"/>
        <w:jc w:val="left"/>
      </w:pPr>
      <w:r>
        <w:rPr>
          <w:rFonts w:ascii="Times New Roman" w:hAnsi="Times New Roman" w:eastAsia="宋体"/>
          <w:sz w:val="24"/>
        </w:rPr>
      </w:r>
    </w:p>
    <w:p>
      <w:pPr>
        <w:spacing w:line="240" w:lineRule="auto" w:before="0" w:after="0"/>
        <w:jc w:val="center"/>
      </w:pPr>
      <w:r>
        <w:rPr>
          <w:rFonts w:ascii="Times New Roman" w:hAnsi="Times New Roman" w:eastAsia="宋体"/>
          <w:sz w:val="24"/>
        </w:rPr>
      </w:r>
    </w:p>
    <w:p>
      <w:pPr>
        <w:spacing w:line="290" w:lineRule="exact" w:before="0" w:after="0"/>
        <w:jc w:val="center"/>
      </w:pPr>
      <w:r>
        <w:rPr>
          <w:rFonts w:ascii="Times New Roman" w:hAnsi="Times New Roman" w:eastAsia="宋体"/>
          <w:sz w:val="24"/>
        </w:rPr>
      </w:r>
    </w:p>
    <w:p>
      <w:pPr>
        <w:spacing w:line="240" w:lineRule="auto" w:before="0" w:after="0"/>
        <w:jc w:val="center"/>
      </w:pPr>
      <w:r>
        <w:rPr>
          <w:rFonts w:ascii="Times New Roman" w:hAnsi="Times New Roman" w:eastAsia="宋体"/>
          <w:sz w:val="48"/>
          <w:b/>
        </w:rPr>
        <w:t>泰安示例新材料科技有限公司</w:t>
      </w:r>
    </w:p>
    <w:p>
      <w:pPr>
        <w:spacing w:line="240" w:lineRule="auto" w:before="0" w:after="0"/>
        <w:jc w:val="center"/>
      </w:pPr>
      <w:r>
        <w:rPr>
          <w:rFonts w:ascii="Times New Roman" w:hAnsi="Times New Roman" w:eastAsia="宋体"/>
          <w:sz w:val="72"/>
          <w:b/>
        </w:rPr>
        <w:t>突发环境事件应急预案</w:t>
      </w:r>
    </w:p>
    <w:p>
      <w:pPr>
        <w:spacing w:line="240" w:lineRule="auto" w:before="0" w:after="0"/>
        <w:jc w:val="center"/>
      </w:pPr>
      <w:r>
        <w:rPr>
          <w:rFonts w:ascii="Times New Roman" w:hAnsi="Times New Roman" w:eastAsia="宋体"/>
          <w:sz w:val="24"/>
        </w:rPr>
      </w:r>
    </w:p>
    <w:p>
      <w:pPr>
        <w:spacing w:line="240" w:lineRule="auto" w:before="0" w:after="0"/>
        <w:jc w:val="center"/>
      </w:pPr>
      <w:r>
        <w:rPr>
          <w:rFonts w:ascii="Times New Roman" w:hAnsi="Times New Roman" w:eastAsia="宋体"/>
          <w:sz w:val="24"/>
        </w:rPr>
        <w:t xml:space="preserve">  </w:t>
      </w:r>
    </w:p>
    <w:p>
      <w:pPr>
        <w:spacing w:line="500" w:lineRule="exact" w:before="0" w:after="0"/>
        <w:jc w:val="center"/>
      </w:pPr>
      <w:r>
        <w:rPr>
          <w:rFonts w:ascii="Times New Roman" w:hAnsi="Times New Roman" w:eastAsia="宋体"/>
          <w:sz w:val="24"/>
        </w:rPr>
      </w:r>
    </w:p>
    <w:p>
      <w:pPr>
        <w:spacing w:line="500" w:lineRule="exact" w:before="0" w:after="0"/>
        <w:jc w:val="center"/>
      </w:pPr>
      <w:r>
        <w:rPr>
          <w:rFonts w:ascii="Times New Roman" w:hAnsi="Times New Roman" w:eastAsia="宋体"/>
          <w:sz w:val="24"/>
        </w:rPr>
      </w:r>
    </w:p>
    <w:p>
      <w:pPr>
        <w:spacing w:line="500" w:lineRule="exact" w:before="0" w:after="0"/>
        <w:jc w:val="center"/>
      </w:pPr>
      <w:r>
        <w:rPr>
          <w:rFonts w:ascii="Times New Roman" w:hAnsi="Times New Roman" w:eastAsia="宋体"/>
          <w:sz w:val="24"/>
        </w:rPr>
      </w:r>
    </w:p>
    <w:p>
      <w:pPr>
        <w:spacing w:line="500" w:lineRule="exact" w:before="0" w:after="0"/>
        <w:jc w:val="center"/>
      </w:pPr>
      <w:r>
        <w:rPr>
          <w:rFonts w:ascii="Times New Roman" w:hAnsi="Times New Roman" w:eastAsia="宋体"/>
          <w:sz w:val="24"/>
        </w:rPr>
      </w:r>
    </w:p>
    <w:p>
      <w:pPr>
        <w:spacing w:line="240" w:lineRule="auto" w:before="1170" w:after="0"/>
        <w:jc w:val="center"/>
      </w:pPr>
      <w:r>
        <w:rPr>
          <w:rFonts w:ascii="Times New Roman" w:hAnsi="Times New Roman" w:eastAsia="宋体"/>
          <w:sz w:val="32"/>
        </w:rPr>
        <w:t xml:space="preserve"> 预案编号：ENV-2026-001</w:t>
      </w:r>
    </w:p>
    <w:p>
      <w:pPr>
        <w:spacing w:line="240" w:lineRule="auto" w:before="0" w:after="0"/>
        <w:jc w:val="center"/>
      </w:pPr>
      <w:r>
        <w:rPr>
          <w:rFonts w:ascii="Times New Roman" w:hAnsi="Times New Roman" w:eastAsia="宋体"/>
          <w:sz w:val="32"/>
        </w:rPr>
        <w:t xml:space="preserve">           编制单位：泰安示例新材料科技有限公司</w:t>
      </w:r>
    </w:p>
    <w:p>
      <w:pPr>
        <w:spacing w:line="240" w:lineRule="auto" w:before="0" w:after="0"/>
        <w:jc w:val="center"/>
      </w:pPr>
      <w:r>
        <w:rPr>
          <w:rFonts w:ascii="Times New Roman" w:hAnsi="Times New Roman" w:eastAsia="宋体"/>
          <w:sz w:val="32"/>
        </w:rPr>
        <w:t xml:space="preserve">           编制日期：2026年10月</w:t>
      </w:r>
    </w:p>
    <w:p>
      <w:pPr>
        <w:spacing w:line="240" w:lineRule="auto" w:before="0" w:after="0"/>
        <w:ind w:firstLineChars="700"/>
        <w:jc w:val="left"/>
      </w:pPr>
      <w:r>
        <w:rPr>
          <w:rFonts w:ascii="Times New Roman" w:hAnsi="Times New Roman" w:eastAsia="宋体"/>
          <w:sz w:val="32"/>
        </w:rPr>
        <w:t>发布人：李某某</w:t>
      </w:r>
    </w:p>
    <w:p>
      <w:pPr>
        <w:spacing w:line="240" w:lineRule="auto" w:before="0" w:after="0"/>
        <w:ind w:firstLineChars="700"/>
        <w:jc w:val="left"/>
      </w:pPr>
      <w:r>
        <w:rPr>
          <w:rFonts w:ascii="Times New Roman" w:hAnsi="Times New Roman" w:eastAsia="宋体"/>
          <w:sz w:val="32"/>
        </w:rPr>
        <w:t>批准日期：2026年10月9日</w:t>
      </w:r>
    </w:p>
    <w:p>
      <w:pPr>
        <w:spacing w:line="240" w:lineRule="auto" w:before="0" w:after="0"/>
        <w:ind w:firstLineChars="700"/>
        <w:jc w:val="left"/>
      </w:pPr>
      <w:r>
        <w:rPr>
          <w:rFonts w:ascii="Times New Roman" w:hAnsi="Times New Roman" w:eastAsia="宋体"/>
          <w:sz w:val="32"/>
        </w:rPr>
        <w:t>执行日期：2026年10月9日</w:t>
      </w:r>
    </w:p>
    <w:p>
      <w:r>
        <w:br w:type="page"/>
      </w:r>
    </w:p>
    <w:p>
      <w:pPr>
        <w:spacing w:line="444" w:lineRule="exact" w:before="0" w:after="0"/>
        <w:jc w:val="left"/>
      </w:pPr>
      <w:r>
        <w:rPr>
          <w:rFonts w:ascii="Times New Roman" w:hAnsi="Times New Roman" w:eastAsia="宋体"/>
          <w:sz w:val="36"/>
        </w:rPr>
      </w:r>
    </w:p>
    <w:p>
      <w:pPr>
        <w:spacing w:line="240" w:lineRule="auto" w:before="0" w:after="0"/>
        <w:jc w:val="center"/>
      </w:pPr>
      <w:r>
        <w:rPr>
          <w:rFonts w:ascii="Times New Roman" w:hAnsi="Times New Roman" w:eastAsia="宋体"/>
          <w:sz w:val="36"/>
        </w:rPr>
      </w:r>
    </w:p>
    <w:p>
      <w:pPr>
        <w:spacing w:line="240" w:lineRule="auto" w:before="0" w:after="0"/>
        <w:jc w:val="center"/>
      </w:pPr>
      <w:r>
        <w:rPr>
          <w:rFonts w:ascii="Times New Roman" w:hAnsi="Times New Roman" w:eastAsia="宋体"/>
          <w:sz w:val="36"/>
        </w:rPr>
      </w:r>
    </w:p>
    <w:p>
      <w:pPr>
        <w:spacing w:line="360" w:lineRule="exact" w:before="0" w:after="0"/>
        <w:jc w:val="left"/>
      </w:pPr>
      <w:r>
        <w:rPr>
          <w:rFonts w:ascii="Times New Roman" w:hAnsi="Times New Roman" w:eastAsia="宋体"/>
          <w:sz w:val="28"/>
        </w:rPr>
      </w:r>
    </w:p>
    <w:p>
      <w:pPr>
        <w:spacing w:line="400" w:lineRule="exact" w:before="0" w:after="0"/>
        <w:jc w:val="left"/>
      </w:pPr>
      <w:r>
        <w:rPr>
          <w:rFonts w:ascii="Times New Roman" w:hAnsi="Times New Roman" w:eastAsia="宋体"/>
          <w:sz w:val="28"/>
        </w:rPr>
      </w:r>
    </w:p>
    <w:p>
      <w:pPr>
        <w:spacing w:line="240" w:lineRule="auto" w:before="240" w:after="60"/>
        <w:jc w:val="left"/>
      </w:pPr>
      <w:r>
        <w:rPr>
          <w:rFonts w:ascii="Times New Roman" w:hAnsi="Times New Roman" w:eastAsia="宋体"/>
          <w:sz w:val="28"/>
        </w:rPr>
      </w:r>
    </w:p>
    <w:p>
      <w:pPr>
        <w:spacing w:line="240" w:lineRule="auto" w:before="240" w:after="60"/>
        <w:jc w:val="left"/>
      </w:pPr>
      <w:r>
        <w:rPr>
          <w:rFonts w:ascii="Times New Roman" w:hAnsi="Times New Roman" w:eastAsia="宋体"/>
          <w:sz w:val="28"/>
        </w:rPr>
      </w:r>
    </w:p>
    <w:p>
      <w:pPr>
        <w:spacing w:line="240" w:lineRule="auto" w:before="0" w:after="0"/>
        <w:jc w:val="center"/>
      </w:pPr>
      <w:r>
        <w:rPr>
          <w:rFonts w:ascii="Times New Roman" w:hAnsi="Times New Roman" w:eastAsia="宋体"/>
          <w:sz w:val="52"/>
          <w:b/>
        </w:rPr>
        <w:t>突发环境事件应急预案批准页</w:t>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center"/>
      </w:pPr>
      <w:r>
        <w:rPr>
          <w:rFonts w:ascii="Times New Roman" w:hAnsi="Times New Roman" w:eastAsia="宋体"/>
          <w:sz w:val="32"/>
        </w:rPr>
        <w:t>编制：赵某某　　　　　　2026 年 10 月 9 日</w:t>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center"/>
      </w:pPr>
      <w:r>
        <w:rPr>
          <w:rFonts w:ascii="Times New Roman" w:hAnsi="Times New Roman" w:eastAsia="宋体"/>
          <w:sz w:val="32"/>
        </w:rPr>
        <w:t>评估：钱某某　　　　　　2026 年 10 月 9 日</w:t>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center"/>
      </w:pPr>
      <w:r>
        <w:rPr>
          <w:rFonts w:ascii="Times New Roman" w:hAnsi="Times New Roman" w:eastAsia="宋体"/>
          <w:sz w:val="32"/>
        </w:rPr>
        <w:t>复核：钱某某　　　　　　2026 年 10 月 9 日</w:t>
      </w:r>
    </w:p>
    <w:p>
      <w:pPr>
        <w:spacing w:line="500" w:lineRule="exact" w:before="0" w:after="0"/>
        <w:jc w:val="left"/>
      </w:pPr>
      <w:r>
        <w:rPr>
          <w:rFonts w:ascii="Times New Roman" w:hAnsi="Times New Roman" w:eastAsia="宋体"/>
          <w:sz w:val="32"/>
        </w:rPr>
      </w:r>
    </w:p>
    <w:p>
      <w:pPr>
        <w:spacing w:line="500" w:lineRule="exact" w:before="0" w:after="0"/>
        <w:jc w:val="left"/>
      </w:pPr>
      <w:r>
        <w:rPr>
          <w:rFonts w:ascii="Times New Roman" w:hAnsi="Times New Roman" w:eastAsia="宋体"/>
          <w:sz w:val="32"/>
        </w:rPr>
      </w:r>
    </w:p>
    <w:p>
      <w:pPr>
        <w:spacing w:line="500" w:lineRule="exact" w:before="0" w:after="0"/>
        <w:jc w:val="center"/>
      </w:pPr>
      <w:r>
        <w:rPr>
          <w:rFonts w:ascii="Times New Roman" w:hAnsi="Times New Roman" w:eastAsia="宋体"/>
          <w:sz w:val="32"/>
        </w:rPr>
        <w:t>批准：李某某　　　　　　2026 年 10 月 9 日</w:t>
      </w:r>
    </w:p>
    <w:p>
      <w:pPr>
        <w:spacing w:line="500" w:lineRule="exact" w:before="0" w:after="0"/>
        <w:jc w:val="left"/>
      </w:pPr>
      <w:r>
        <w:rPr>
          <w:rFonts w:ascii="Times New Roman" w:hAnsi="Times New Roman" w:eastAsia="宋体"/>
          <w:sz w:val="28"/>
        </w:rPr>
      </w:r>
    </w:p>
    <w:p>
      <w:pPr>
        <w:spacing w:line="500" w:lineRule="exact" w:before="0" w:after="0"/>
        <w:jc w:val="left"/>
      </w:pPr>
      <w:r>
        <w:rPr>
          <w:rFonts w:ascii="Times New Roman" w:hAnsi="Times New Roman" w:eastAsia="宋体"/>
          <w:sz w:val="28"/>
        </w:rPr>
      </w:r>
    </w:p>
    <w:p>
      <w:pPr>
        <w:spacing w:line="416" w:lineRule="exact" w:before="0" w:after="0"/>
        <w:jc w:val="center"/>
        <w:pageBreakBefore/>
      </w:pPr>
      <w:r>
        <w:rPr>
          <w:rFonts w:ascii="Times New Roman" w:hAnsi="Times New Roman" w:eastAsia="宋体"/>
          <w:sz w:val="44"/>
          <w:b/>
        </w:rPr>
        <w:t>突发环境事件应急预案发布令</w:t>
      </w:r>
    </w:p>
    <w:p>
      <w:pPr>
        <w:spacing w:line="528" w:lineRule="exact" w:before="0" w:after="0"/>
        <w:jc w:val="left"/>
      </w:pPr>
      <w:r>
        <w:rPr>
          <w:rFonts w:ascii="Times New Roman" w:hAnsi="Times New Roman" w:eastAsia="宋体"/>
          <w:sz w:val="28"/>
        </w:rPr>
      </w:r>
    </w:p>
    <w:p>
      <w:pPr>
        <w:spacing w:line="500" w:lineRule="exact" w:before="0" w:after="0"/>
        <w:ind w:firstLineChars="200"/>
        <w:jc w:val="left"/>
      </w:pPr>
      <w:r>
        <w:rPr>
          <w:rFonts w:ascii="Times New Roman" w:hAnsi="Times New Roman" w:eastAsia="宋体"/>
          <w:sz w:val="28"/>
        </w:rPr>
        <w:t>为贯彻《中华人民共和国突发事件应对法》、《突发环境事件应急管理办法》（环境保护部令第34号）、《企业事业单位突发环境事件应急预案备案管理办法（试行）》（环发</w:t>
      </w:r>
      <w:r>
        <w:rPr>
          <w:rFonts w:ascii="Times New Roman" w:hAnsi="Times New Roman" w:eastAsia="宋体"/>
          <w:sz w:val="28"/>
        </w:rPr>
        <w:t>[2015]</w:t>
      </w:r>
      <w:r>
        <w:rPr>
          <w:rFonts w:ascii="Times New Roman" w:hAnsi="Times New Roman" w:eastAsia="宋体"/>
          <w:sz w:val="28"/>
        </w:rPr>
        <w:t>4号）及其它国家法律、法规及有关文件的要求，有效防范应对突发环境事件，保护人员生命安全，减少单位财产损失，减少突发事件对环境的影响，本单位特编制了《泰安示例新材料科技有限公司突发环境事件应急预案》。该预案是本单位实施应急救援的规范性文件，用于指导本单位针对突发环境事件的应急救援行动。</w:t>
      </w:r>
    </w:p>
    <w:p>
      <w:pPr>
        <w:spacing w:line="500" w:lineRule="exact" w:before="0" w:after="0"/>
        <w:ind w:firstLineChars="200"/>
        <w:jc w:val="left"/>
      </w:pPr>
      <w:r>
        <w:rPr>
          <w:rFonts w:ascii="Times New Roman" w:hAnsi="Times New Roman" w:eastAsia="宋体"/>
          <w:sz w:val="28"/>
        </w:rPr>
        <w:t>本突发环境事件应急预案，于2026年10月9日批准发布，</w:t>
      </w:r>
    </w:p>
    <w:p>
      <w:pPr>
        <w:spacing w:line="500" w:lineRule="exact" w:before="0" w:after="0"/>
        <w:jc w:val="left"/>
      </w:pPr>
      <w:r>
        <w:rPr>
          <w:rFonts w:ascii="Times New Roman" w:hAnsi="Times New Roman" w:eastAsia="宋体"/>
          <w:sz w:val="28"/>
        </w:rPr>
        <w:t>2026年10月9日正式实施。本单位内所有部门均应严格遵守执行。</w:t>
      </w:r>
    </w:p>
    <w:p>
      <w:pPr>
        <w:spacing w:line="500" w:lineRule="exact" w:before="0" w:after="0"/>
        <w:jc w:val="left"/>
      </w:pPr>
      <w:r>
        <w:rPr>
          <w:rFonts w:ascii="Times New Roman" w:hAnsi="Times New Roman" w:eastAsia="宋体"/>
          <w:sz w:val="28"/>
        </w:rPr>
      </w:r>
    </w:p>
    <w:p>
      <w:pPr>
        <w:spacing w:line="500" w:lineRule="exact" w:before="0" w:after="0"/>
        <w:jc w:val="left"/>
      </w:pPr>
      <w:r>
        <w:rPr>
          <w:rFonts w:ascii="Times New Roman" w:hAnsi="Times New Roman" w:eastAsia="宋体"/>
          <w:sz w:val="28"/>
        </w:rPr>
      </w:r>
    </w:p>
    <w:p>
      <w:pPr>
        <w:spacing w:line="500" w:lineRule="exact" w:before="0" w:after="0"/>
        <w:jc w:val="left"/>
      </w:pPr>
      <w:r>
        <w:rPr>
          <w:rFonts w:ascii="Times New Roman" w:hAnsi="Times New Roman" w:eastAsia="宋体"/>
          <w:sz w:val="28"/>
        </w:rPr>
      </w:r>
    </w:p>
    <w:p>
      <w:pPr>
        <w:spacing w:line="500" w:lineRule="exact" w:before="0" w:after="0"/>
        <w:jc w:val="left"/>
      </w:pPr>
      <w:r>
        <w:rPr>
          <w:rFonts w:ascii="Times New Roman" w:hAnsi="Times New Roman" w:eastAsia="宋体"/>
          <w:sz w:val="28"/>
        </w:rPr>
      </w:r>
    </w:p>
    <w:p>
      <w:pPr>
        <w:spacing w:line="500" w:lineRule="exact" w:before="0" w:after="0"/>
        <w:jc w:val="left"/>
      </w:pPr>
      <w:r>
        <w:rPr>
          <w:rFonts w:ascii="Times New Roman" w:hAnsi="Times New Roman" w:eastAsia="宋体"/>
          <w:sz w:val="28"/>
        </w:rPr>
      </w:r>
    </w:p>
    <w:p>
      <w:pPr>
        <w:spacing w:line="240" w:lineRule="auto" w:before="0" w:after="0"/>
        <w:jc w:val="left"/>
      </w:pPr>
      <w:r>
        <w:rPr>
          <w:rFonts w:ascii="Times New Roman" w:hAnsi="Times New Roman" w:eastAsia="宋体"/>
          <w:sz w:val="28"/>
        </w:rPr>
        <w:t xml:space="preserve">                             泰安示例新材料科技有限公司</w:t>
      </w:r>
    </w:p>
    <w:p>
      <w:pPr>
        <w:spacing w:line="240" w:lineRule="auto" w:before="0" w:after="0"/>
        <w:jc w:val="center"/>
      </w:pPr>
      <w:r>
        <w:rPr>
          <w:rFonts w:ascii="Times New Roman" w:hAnsi="Times New Roman" w:eastAsia="宋体"/>
          <w:sz w:val="28"/>
        </w:rPr>
        <w:t xml:space="preserve">          主要负责人：李某某</w:t>
      </w:r>
    </w:p>
    <w:p>
      <w:pPr>
        <w:spacing w:line="240" w:lineRule="auto" w:before="0" w:after="0"/>
        <w:jc w:val="left"/>
      </w:pPr>
      <w:r>
        <w:rPr>
          <w:rFonts w:ascii="Times New Roman" w:hAnsi="Times New Roman" w:eastAsia="宋体"/>
          <w:sz w:val="28"/>
        </w:rPr>
        <w:t xml:space="preserve">                                     2026年10月9日</w:t>
      </w:r>
    </w:p>
    <w:p>
      <w:pPr>
        <w:sectPr>
          <w:headerReference w:type="first" r:id="rId9"/>
          <w:headerReference w:type="default" r:id="rId10"/>
          <w:footerReference w:type="first" r:id="rId11"/>
          <w:footerReference w:type="default" r:id="rId12"/>
          <w:type w:val="nextPage"/>
          <w:pgSz w:w="11906" w:h="16838"/>
          <w:pgMar w:top="1440" w:right="1701" w:bottom="1440" w:left="1701" w:header="851" w:footer="1042" w:gutter="0"/>
          <w:cols w:space="720"/>
          <w:titlePg/>
          <w:docGrid w:type="lines" w:linePitch="312" w:charSpace="0"/>
        </w:sectPr>
      </w:pPr>
    </w:p>
    <w:p>
      <w:pPr>
        <w:spacing w:line="500" w:lineRule="exact" w:before="0" w:after="0"/>
        <w:jc w:val="center"/>
      </w:pPr>
      <w:r>
        <w:rPr>
          <w:rFonts w:ascii="Times New Roman" w:hAnsi="Times New Roman" w:eastAsia="宋体"/>
          <w:sz w:val="24"/>
        </w:rPr>
        <w:t>目  录</w:t>
      </w:r>
    </w:p>
    <w:p>
      <w:pPr>
        <w:pStyle w:val="TOC1"/>
        <w:spacing w:before="0" w:after="0"/>
        <w:jc w:val="left"/>
      </w:pPr>
      <w:hyperlink w:anchor="_Toc90001">
        <w:r>
          <w:t xml:space="preserve">1 总则</w:t>
        </w:r>
      </w:hyperlink>
      <w:r>
        <w:tab/>
      </w:r>
      <w:r>
        <w:fldChar w:fldCharType="begin"/>
      </w:r>
      <w:r>
        <w:instrText xml:space="preserve"> PAGEREF _Toc90001 \h </w:instrText>
      </w:r>
      <w:r>
        <w:fldChar w:fldCharType="separate"/>
      </w:r>
      <w:r>
        <w:t>1</w:t>
      </w:r>
      <w:r>
        <w:fldChar w:fldCharType="end"/>
      </w:r>
    </w:p>
    <w:p>
      <w:pPr>
        <w:pStyle w:val="TOC2"/>
        <w:spacing w:before="0" w:after="0"/>
        <w:jc w:val="left"/>
      </w:pPr>
      <w:hyperlink w:anchor="_Toc90002">
        <w:r>
          <w:t xml:space="preserve">1.1 编制目的</w:t>
        </w:r>
      </w:hyperlink>
      <w:r>
        <w:tab/>
      </w:r>
      <w:r>
        <w:fldChar w:fldCharType="begin"/>
      </w:r>
      <w:r>
        <w:instrText xml:space="preserve"> PAGEREF _Toc90002 \h </w:instrText>
      </w:r>
      <w:r>
        <w:fldChar w:fldCharType="separate"/>
      </w:r>
      <w:r>
        <w:t>1</w:t>
      </w:r>
      <w:r>
        <w:fldChar w:fldCharType="end"/>
      </w:r>
    </w:p>
    <w:p>
      <w:pPr>
        <w:pStyle w:val="TOC2"/>
        <w:spacing w:before="0" w:after="0"/>
        <w:jc w:val="left"/>
      </w:pPr>
      <w:hyperlink w:anchor="_Toc90003">
        <w:r>
          <w:t xml:space="preserve">1.2 编制依据</w:t>
        </w:r>
      </w:hyperlink>
      <w:r>
        <w:tab/>
      </w:r>
      <w:r>
        <w:fldChar w:fldCharType="begin"/>
      </w:r>
      <w:r>
        <w:instrText xml:space="preserve"> PAGEREF _Toc90003 \h </w:instrText>
      </w:r>
      <w:r>
        <w:fldChar w:fldCharType="separate"/>
      </w:r>
      <w:r>
        <w:t>1</w:t>
      </w:r>
      <w:r>
        <w:fldChar w:fldCharType="end"/>
      </w:r>
    </w:p>
    <w:p>
      <w:pPr>
        <w:pStyle w:val="TOC2"/>
        <w:spacing w:before="0" w:after="0"/>
        <w:jc w:val="left"/>
      </w:pPr>
      <w:hyperlink w:anchor="_Toc90004">
        <w:r>
          <w:t xml:space="preserve">1.3 适用范围</w:t>
        </w:r>
      </w:hyperlink>
      <w:r>
        <w:tab/>
      </w:r>
      <w:r>
        <w:fldChar w:fldCharType="begin"/>
      </w:r>
      <w:r>
        <w:instrText xml:space="preserve"> PAGEREF _Toc90004 \h </w:instrText>
      </w:r>
      <w:r>
        <w:fldChar w:fldCharType="separate"/>
      </w:r>
      <w:r>
        <w:t>1</w:t>
      </w:r>
      <w:r>
        <w:fldChar w:fldCharType="end"/>
      </w:r>
    </w:p>
    <w:p>
      <w:pPr>
        <w:pStyle w:val="TOC2"/>
        <w:spacing w:before="0" w:after="0"/>
        <w:jc w:val="left"/>
      </w:pPr>
      <w:hyperlink w:anchor="_Toc90005">
        <w:r>
          <w:t xml:space="preserve">1.4 应急预案体系</w:t>
        </w:r>
      </w:hyperlink>
      <w:r>
        <w:tab/>
      </w:r>
      <w:r>
        <w:fldChar w:fldCharType="begin"/>
      </w:r>
      <w:r>
        <w:instrText xml:space="preserve"> PAGEREF _Toc90005 \h </w:instrText>
      </w:r>
      <w:r>
        <w:fldChar w:fldCharType="separate"/>
      </w:r>
      <w:r>
        <w:t>1</w:t>
      </w:r>
      <w:r>
        <w:fldChar w:fldCharType="end"/>
      </w:r>
    </w:p>
    <w:p>
      <w:pPr>
        <w:pStyle w:val="TOC2"/>
        <w:spacing w:before="0" w:after="0"/>
        <w:jc w:val="left"/>
      </w:pPr>
      <w:hyperlink w:anchor="_Toc90006">
        <w:r>
          <w:t xml:space="preserve">1.5 工作原则</w:t>
        </w:r>
      </w:hyperlink>
      <w:r>
        <w:tab/>
      </w:r>
      <w:r>
        <w:fldChar w:fldCharType="begin"/>
      </w:r>
      <w:r>
        <w:instrText xml:space="preserve"> PAGEREF _Toc90006 \h </w:instrText>
      </w:r>
      <w:r>
        <w:fldChar w:fldCharType="separate"/>
      </w:r>
      <w:r>
        <w:t>1</w:t>
      </w:r>
      <w:r>
        <w:fldChar w:fldCharType="end"/>
      </w:r>
    </w:p>
    <w:p>
      <w:pPr>
        <w:pStyle w:val="TOC1"/>
        <w:spacing w:before="0" w:after="0"/>
        <w:jc w:val="left"/>
      </w:pPr>
      <w:hyperlink w:anchor="_Toc90007">
        <w:r>
          <w:t xml:space="preserve">2 基本情况</w:t>
        </w:r>
      </w:hyperlink>
      <w:r>
        <w:tab/>
      </w:r>
      <w:r>
        <w:fldChar w:fldCharType="begin"/>
      </w:r>
      <w:r>
        <w:instrText xml:space="preserve"> PAGEREF _Toc90007 \h </w:instrText>
      </w:r>
      <w:r>
        <w:fldChar w:fldCharType="separate"/>
      </w:r>
      <w:r>
        <w:t>1</w:t>
      </w:r>
      <w:r>
        <w:fldChar w:fldCharType="end"/>
      </w:r>
    </w:p>
    <w:p>
      <w:pPr>
        <w:pStyle w:val="TOC2"/>
        <w:spacing w:before="0" w:after="0"/>
        <w:jc w:val="left"/>
      </w:pPr>
      <w:hyperlink w:anchor="_Toc90008">
        <w:r>
          <w:t xml:space="preserve">2.1 公司基本情况介绍</w:t>
        </w:r>
      </w:hyperlink>
      <w:r>
        <w:tab/>
      </w:r>
      <w:r>
        <w:fldChar w:fldCharType="begin"/>
      </w:r>
      <w:r>
        <w:instrText xml:space="preserve"> PAGEREF _Toc90008 \h </w:instrText>
      </w:r>
      <w:r>
        <w:fldChar w:fldCharType="separate"/>
      </w:r>
      <w:r>
        <w:t>1</w:t>
      </w:r>
      <w:r>
        <w:fldChar w:fldCharType="end"/>
      </w:r>
    </w:p>
    <w:p>
      <w:pPr>
        <w:pStyle w:val="TOC2"/>
        <w:spacing w:before="0" w:after="0"/>
        <w:jc w:val="left"/>
      </w:pPr>
      <w:hyperlink w:anchor="_Toc90009">
        <w:r>
          <w:t xml:space="preserve">2.2 生产工艺情况简介</w:t>
        </w:r>
      </w:hyperlink>
      <w:r>
        <w:tab/>
      </w:r>
      <w:r>
        <w:fldChar w:fldCharType="begin"/>
      </w:r>
      <w:r>
        <w:instrText xml:space="preserve"> PAGEREF _Toc90009 \h </w:instrText>
      </w:r>
      <w:r>
        <w:fldChar w:fldCharType="separate"/>
      </w:r>
      <w:r>
        <w:t>1</w:t>
      </w:r>
      <w:r>
        <w:fldChar w:fldCharType="end"/>
      </w:r>
    </w:p>
    <w:p>
      <w:pPr>
        <w:pStyle w:val="TOC2"/>
        <w:spacing w:before="0" w:after="0"/>
        <w:jc w:val="left"/>
      </w:pPr>
      <w:hyperlink w:anchor="_Toc90010">
        <w:r>
          <w:t xml:space="preserve">2.3 主要原辅材料及产品</w:t>
        </w:r>
      </w:hyperlink>
      <w:r>
        <w:tab/>
      </w:r>
      <w:r>
        <w:fldChar w:fldCharType="begin"/>
      </w:r>
      <w:r>
        <w:instrText xml:space="preserve"> PAGEREF _Toc90010 \h </w:instrText>
      </w:r>
      <w:r>
        <w:fldChar w:fldCharType="separate"/>
      </w:r>
      <w:r>
        <w:t>1</w:t>
      </w:r>
      <w:r>
        <w:fldChar w:fldCharType="end"/>
      </w:r>
    </w:p>
    <w:p>
      <w:pPr>
        <w:pStyle w:val="TOC2"/>
        <w:spacing w:before="0" w:after="0"/>
        <w:jc w:val="left"/>
      </w:pPr>
      <w:hyperlink w:anchor="_Toc90011">
        <w:r>
          <w:t xml:space="preserve">2.4 主要设备</w:t>
        </w:r>
      </w:hyperlink>
      <w:r>
        <w:tab/>
      </w:r>
      <w:r>
        <w:fldChar w:fldCharType="begin"/>
      </w:r>
      <w:r>
        <w:instrText xml:space="preserve"> PAGEREF _Toc90011 \h </w:instrText>
      </w:r>
      <w:r>
        <w:fldChar w:fldCharType="separate"/>
      </w:r>
      <w:r>
        <w:t>1</w:t>
      </w:r>
      <w:r>
        <w:fldChar w:fldCharType="end"/>
      </w:r>
    </w:p>
    <w:p>
      <w:pPr>
        <w:pStyle w:val="TOC2"/>
        <w:spacing w:before="0" w:after="0"/>
        <w:jc w:val="left"/>
      </w:pPr>
      <w:hyperlink w:anchor="_Toc90012">
        <w:r>
          <w:t xml:space="preserve">2.5 现有污染防控措施</w:t>
        </w:r>
      </w:hyperlink>
      <w:r>
        <w:tab/>
      </w:r>
      <w:r>
        <w:fldChar w:fldCharType="begin"/>
      </w:r>
      <w:r>
        <w:instrText xml:space="preserve"> PAGEREF _Toc90012 \h </w:instrText>
      </w:r>
      <w:r>
        <w:fldChar w:fldCharType="separate"/>
      </w:r>
      <w:r>
        <w:t>1</w:t>
      </w:r>
      <w:r>
        <w:fldChar w:fldCharType="end"/>
      </w:r>
    </w:p>
    <w:p>
      <w:pPr>
        <w:pStyle w:val="TOC2"/>
        <w:spacing w:before="0" w:after="0"/>
        <w:jc w:val="left"/>
      </w:pPr>
      <w:hyperlink w:anchor="_Toc90013">
        <w:r>
          <w:t xml:space="preserve">2.6 企业周边环境风险受体</w:t>
        </w:r>
      </w:hyperlink>
      <w:r>
        <w:tab/>
      </w:r>
      <w:r>
        <w:fldChar w:fldCharType="begin"/>
      </w:r>
      <w:r>
        <w:instrText xml:space="preserve"> PAGEREF _Toc90013 \h </w:instrText>
      </w:r>
      <w:r>
        <w:fldChar w:fldCharType="separate"/>
      </w:r>
      <w:r>
        <w:t>1</w:t>
      </w:r>
      <w:r>
        <w:fldChar w:fldCharType="end"/>
      </w:r>
    </w:p>
    <w:p>
      <w:pPr>
        <w:pStyle w:val="TOC1"/>
        <w:spacing w:before="0" w:after="0"/>
        <w:jc w:val="left"/>
      </w:pPr>
      <w:hyperlink w:anchor="_Toc90014">
        <w:r>
          <w:t xml:space="preserve">3 环境风险源与环境风险评价</w:t>
        </w:r>
      </w:hyperlink>
      <w:r>
        <w:tab/>
      </w:r>
      <w:r>
        <w:fldChar w:fldCharType="begin"/>
      </w:r>
      <w:r>
        <w:instrText xml:space="preserve"> PAGEREF _Toc90014 \h </w:instrText>
      </w:r>
      <w:r>
        <w:fldChar w:fldCharType="separate"/>
      </w:r>
      <w:r>
        <w:t>1</w:t>
      </w:r>
      <w:r>
        <w:fldChar w:fldCharType="end"/>
      </w:r>
    </w:p>
    <w:p>
      <w:pPr>
        <w:pStyle w:val="TOC2"/>
        <w:spacing w:before="0" w:after="0"/>
        <w:jc w:val="left"/>
      </w:pPr>
      <w:hyperlink w:anchor="_Toc90015">
        <w:r>
          <w:t xml:space="preserve">3.1 环境风险源分析</w:t>
        </w:r>
      </w:hyperlink>
      <w:r>
        <w:tab/>
      </w:r>
      <w:r>
        <w:fldChar w:fldCharType="begin"/>
      </w:r>
      <w:r>
        <w:instrText xml:space="preserve"> PAGEREF _Toc90015 \h </w:instrText>
      </w:r>
      <w:r>
        <w:fldChar w:fldCharType="separate"/>
      </w:r>
      <w:r>
        <w:t>1</w:t>
      </w:r>
      <w:r>
        <w:fldChar w:fldCharType="end"/>
      </w:r>
    </w:p>
    <w:p>
      <w:pPr>
        <w:pStyle w:val="TOC2"/>
        <w:spacing w:before="0" w:after="0"/>
        <w:jc w:val="left"/>
      </w:pPr>
      <w:hyperlink w:anchor="_Toc90016">
        <w:r>
          <w:t xml:space="preserve">3.2 风险等级确定</w:t>
        </w:r>
      </w:hyperlink>
      <w:r>
        <w:tab/>
      </w:r>
      <w:r>
        <w:fldChar w:fldCharType="begin"/>
      </w:r>
      <w:r>
        <w:instrText xml:space="preserve"> PAGEREF _Toc90016 \h </w:instrText>
      </w:r>
      <w:r>
        <w:fldChar w:fldCharType="separate"/>
      </w:r>
      <w:r>
        <w:t>1</w:t>
      </w:r>
      <w:r>
        <w:fldChar w:fldCharType="end"/>
      </w:r>
    </w:p>
    <w:p>
      <w:pPr>
        <w:pStyle w:val="TOC2"/>
        <w:spacing w:before="0" w:after="0"/>
        <w:jc w:val="left"/>
      </w:pPr>
      <w:hyperlink w:anchor="_Toc90017">
        <w:r>
          <w:t xml:space="preserve">3.3 环境风险影响</w:t>
        </w:r>
      </w:hyperlink>
      <w:r>
        <w:tab/>
      </w:r>
      <w:r>
        <w:fldChar w:fldCharType="begin"/>
      </w:r>
      <w:r>
        <w:instrText xml:space="preserve"> PAGEREF _Toc90017 \h </w:instrText>
      </w:r>
      <w:r>
        <w:fldChar w:fldCharType="separate"/>
      </w:r>
      <w:r>
        <w:t>1</w:t>
      </w:r>
      <w:r>
        <w:fldChar w:fldCharType="end"/>
      </w:r>
    </w:p>
    <w:p>
      <w:pPr>
        <w:pStyle w:val="TOC2"/>
        <w:spacing w:before="0" w:after="0"/>
        <w:jc w:val="left"/>
      </w:pPr>
      <w:hyperlink w:anchor="_Toc90018">
        <w:r>
          <w:t xml:space="preserve">3.4 公司应急能力评估</w:t>
        </w:r>
      </w:hyperlink>
      <w:r>
        <w:tab/>
      </w:r>
      <w:r>
        <w:fldChar w:fldCharType="begin"/>
      </w:r>
      <w:r>
        <w:instrText xml:space="preserve"> PAGEREF _Toc90018 \h </w:instrText>
      </w:r>
      <w:r>
        <w:fldChar w:fldCharType="separate"/>
      </w:r>
      <w:r>
        <w:t>1</w:t>
      </w:r>
      <w:r>
        <w:fldChar w:fldCharType="end"/>
      </w:r>
    </w:p>
    <w:p>
      <w:pPr>
        <w:pStyle w:val="TOC1"/>
        <w:spacing w:before="0" w:after="0"/>
        <w:jc w:val="left"/>
      </w:pPr>
      <w:hyperlink w:anchor="_Toc90019">
        <w:r>
          <w:t xml:space="preserve">4 组织指挥体系及职责</w:t>
        </w:r>
      </w:hyperlink>
      <w:r>
        <w:tab/>
      </w:r>
      <w:r>
        <w:fldChar w:fldCharType="begin"/>
      </w:r>
      <w:r>
        <w:instrText xml:space="preserve"> PAGEREF _Toc90019 \h </w:instrText>
      </w:r>
      <w:r>
        <w:fldChar w:fldCharType="separate"/>
      </w:r>
      <w:r>
        <w:t>1</w:t>
      </w:r>
      <w:r>
        <w:fldChar w:fldCharType="end"/>
      </w:r>
    </w:p>
    <w:p>
      <w:pPr>
        <w:pStyle w:val="TOC2"/>
        <w:spacing w:before="0" w:after="0"/>
        <w:jc w:val="left"/>
      </w:pPr>
      <w:hyperlink w:anchor="_Toc90020">
        <w:r>
          <w:t xml:space="preserve">4.1 组织体系</w:t>
        </w:r>
      </w:hyperlink>
      <w:r>
        <w:tab/>
      </w:r>
      <w:r>
        <w:fldChar w:fldCharType="begin"/>
      </w:r>
      <w:r>
        <w:instrText xml:space="preserve"> PAGEREF _Toc90020 \h </w:instrText>
      </w:r>
      <w:r>
        <w:fldChar w:fldCharType="separate"/>
      </w:r>
      <w:r>
        <w:t>1</w:t>
      </w:r>
      <w:r>
        <w:fldChar w:fldCharType="end"/>
      </w:r>
    </w:p>
    <w:p>
      <w:pPr>
        <w:pStyle w:val="TOC2"/>
        <w:spacing w:before="0" w:after="0"/>
        <w:jc w:val="left"/>
      </w:pPr>
      <w:hyperlink w:anchor="_Toc90021">
        <w:r>
          <w:t xml:space="preserve">4.2 指挥机构及职责</w:t>
        </w:r>
      </w:hyperlink>
      <w:r>
        <w:tab/>
      </w:r>
      <w:r>
        <w:fldChar w:fldCharType="begin"/>
      </w:r>
      <w:r>
        <w:instrText xml:space="preserve"> PAGEREF _Toc90021 \h </w:instrText>
      </w:r>
      <w:r>
        <w:fldChar w:fldCharType="separate"/>
      </w:r>
      <w:r>
        <w:t>1</w:t>
      </w:r>
      <w:r>
        <w:fldChar w:fldCharType="end"/>
      </w:r>
    </w:p>
    <w:p>
      <w:pPr>
        <w:pStyle w:val="TOC2"/>
        <w:spacing w:before="0" w:after="0"/>
        <w:jc w:val="left"/>
      </w:pPr>
      <w:hyperlink w:anchor="_Toc90022">
        <w:r>
          <w:t xml:space="preserve">4.3 应急指挥运行机制</w:t>
        </w:r>
      </w:hyperlink>
      <w:r>
        <w:tab/>
      </w:r>
      <w:r>
        <w:fldChar w:fldCharType="begin"/>
      </w:r>
      <w:r>
        <w:instrText xml:space="preserve"> PAGEREF _Toc90022 \h </w:instrText>
      </w:r>
      <w:r>
        <w:fldChar w:fldCharType="separate"/>
      </w:r>
      <w:r>
        <w:t>1</w:t>
      </w:r>
      <w:r>
        <w:fldChar w:fldCharType="end"/>
      </w:r>
    </w:p>
    <w:p>
      <w:pPr>
        <w:pStyle w:val="TOC2"/>
        <w:spacing w:before="0" w:after="0"/>
        <w:jc w:val="left"/>
      </w:pPr>
      <w:hyperlink w:anchor="_Toc90023">
        <w:r>
          <w:t xml:space="preserve">4.4 应急值班人员守则</w:t>
        </w:r>
      </w:hyperlink>
      <w:r>
        <w:tab/>
      </w:r>
      <w:r>
        <w:fldChar w:fldCharType="begin"/>
      </w:r>
      <w:r>
        <w:instrText xml:space="preserve"> PAGEREF _Toc90023 \h </w:instrText>
      </w:r>
      <w:r>
        <w:fldChar w:fldCharType="separate"/>
      </w:r>
      <w:r>
        <w:t>1</w:t>
      </w:r>
      <w:r>
        <w:fldChar w:fldCharType="end"/>
      </w:r>
    </w:p>
    <w:p>
      <w:pPr>
        <w:pStyle w:val="TOC1"/>
        <w:spacing w:before="0" w:after="0"/>
        <w:jc w:val="left"/>
      </w:pPr>
      <w:hyperlink w:anchor="_Toc90024">
        <w:r>
          <w:t xml:space="preserve">5 预防与预警机制</w:t>
        </w:r>
      </w:hyperlink>
      <w:r>
        <w:tab/>
      </w:r>
      <w:r>
        <w:fldChar w:fldCharType="begin"/>
      </w:r>
      <w:r>
        <w:instrText xml:space="preserve"> PAGEREF _Toc90024 \h </w:instrText>
      </w:r>
      <w:r>
        <w:fldChar w:fldCharType="separate"/>
      </w:r>
      <w:r>
        <w:t>1</w:t>
      </w:r>
      <w:r>
        <w:fldChar w:fldCharType="end"/>
      </w:r>
    </w:p>
    <w:p>
      <w:pPr>
        <w:pStyle w:val="TOC2"/>
        <w:spacing w:before="0" w:after="0"/>
        <w:jc w:val="left"/>
      </w:pPr>
      <w:hyperlink w:anchor="_Toc90025">
        <w:r>
          <w:t xml:space="preserve">5.1 环境风险源监控</w:t>
        </w:r>
      </w:hyperlink>
      <w:r>
        <w:tab/>
      </w:r>
      <w:r>
        <w:fldChar w:fldCharType="begin"/>
      </w:r>
      <w:r>
        <w:instrText xml:space="preserve"> PAGEREF _Toc90025 \h </w:instrText>
      </w:r>
      <w:r>
        <w:fldChar w:fldCharType="separate"/>
      </w:r>
      <w:r>
        <w:t>1</w:t>
      </w:r>
      <w:r>
        <w:fldChar w:fldCharType="end"/>
      </w:r>
    </w:p>
    <w:p>
      <w:pPr>
        <w:pStyle w:val="TOC2"/>
        <w:spacing w:before="0" w:after="0"/>
        <w:jc w:val="left"/>
      </w:pPr>
      <w:hyperlink w:anchor="_Toc90026">
        <w:r>
          <w:t xml:space="preserve">5.2 预防措施</w:t>
        </w:r>
      </w:hyperlink>
      <w:r>
        <w:tab/>
      </w:r>
      <w:r>
        <w:fldChar w:fldCharType="begin"/>
      </w:r>
      <w:r>
        <w:instrText xml:space="preserve"> PAGEREF _Toc90026 \h </w:instrText>
      </w:r>
      <w:r>
        <w:fldChar w:fldCharType="separate"/>
      </w:r>
      <w:r>
        <w:t>1</w:t>
      </w:r>
      <w:r>
        <w:fldChar w:fldCharType="end"/>
      </w:r>
    </w:p>
    <w:p>
      <w:pPr>
        <w:pStyle w:val="TOC2"/>
        <w:spacing w:before="0" w:after="0"/>
        <w:jc w:val="left"/>
      </w:pPr>
      <w:hyperlink w:anchor="_Toc90027">
        <w:r>
          <w:t xml:space="preserve">5.3 预警及措施</w:t>
        </w:r>
      </w:hyperlink>
      <w:r>
        <w:tab/>
      </w:r>
      <w:r>
        <w:fldChar w:fldCharType="begin"/>
      </w:r>
      <w:r>
        <w:instrText xml:space="preserve"> PAGEREF _Toc90027 \h </w:instrText>
      </w:r>
      <w:r>
        <w:fldChar w:fldCharType="separate"/>
      </w:r>
      <w:r>
        <w:t>1</w:t>
      </w:r>
      <w:r>
        <w:fldChar w:fldCharType="end"/>
      </w:r>
    </w:p>
    <w:p>
      <w:pPr>
        <w:pStyle w:val="TOC2"/>
        <w:spacing w:before="0" w:after="0"/>
        <w:jc w:val="left"/>
      </w:pPr>
      <w:hyperlink w:anchor="_Toc90028">
        <w:r>
          <w:t xml:space="preserve">5.4 预警发布、调整与解除</w:t>
        </w:r>
      </w:hyperlink>
      <w:r>
        <w:tab/>
      </w:r>
      <w:r>
        <w:fldChar w:fldCharType="begin"/>
      </w:r>
      <w:r>
        <w:instrText xml:space="preserve"> PAGEREF _Toc90028 \h </w:instrText>
      </w:r>
      <w:r>
        <w:fldChar w:fldCharType="separate"/>
      </w:r>
      <w:r>
        <w:t>1</w:t>
      </w:r>
      <w:r>
        <w:fldChar w:fldCharType="end"/>
      </w:r>
    </w:p>
    <w:p>
      <w:pPr>
        <w:pStyle w:val="TOC1"/>
        <w:spacing w:before="0" w:after="0"/>
        <w:jc w:val="left"/>
      </w:pPr>
      <w:hyperlink w:anchor="_Toc90029">
        <w:r>
          <w:t xml:space="preserve">6 应急处置</w:t>
        </w:r>
      </w:hyperlink>
      <w:r>
        <w:tab/>
      </w:r>
      <w:r>
        <w:fldChar w:fldCharType="begin"/>
      </w:r>
      <w:r>
        <w:instrText xml:space="preserve"> PAGEREF _Toc90029 \h </w:instrText>
      </w:r>
      <w:r>
        <w:fldChar w:fldCharType="separate"/>
      </w:r>
      <w:r>
        <w:t>1</w:t>
      </w:r>
      <w:r>
        <w:fldChar w:fldCharType="end"/>
      </w:r>
    </w:p>
    <w:p>
      <w:pPr>
        <w:pStyle w:val="TOC2"/>
        <w:spacing w:before="0" w:after="0"/>
        <w:jc w:val="left"/>
      </w:pPr>
      <w:hyperlink w:anchor="_Toc90030">
        <w:r>
          <w:t xml:space="preserve">6.1 应急响应</w:t>
        </w:r>
      </w:hyperlink>
      <w:r>
        <w:tab/>
      </w:r>
      <w:r>
        <w:fldChar w:fldCharType="begin"/>
      </w:r>
      <w:r>
        <w:instrText xml:space="preserve"> PAGEREF _Toc90030 \h </w:instrText>
      </w:r>
      <w:r>
        <w:fldChar w:fldCharType="separate"/>
      </w:r>
      <w:r>
        <w:t>1</w:t>
      </w:r>
      <w:r>
        <w:fldChar w:fldCharType="end"/>
      </w:r>
    </w:p>
    <w:p>
      <w:pPr>
        <w:pStyle w:val="TOC2"/>
        <w:spacing w:before="0" w:after="0"/>
        <w:jc w:val="left"/>
      </w:pPr>
      <w:hyperlink w:anchor="_Toc90031">
        <w:r>
          <w:t xml:space="preserve">6.2 应急措施</w:t>
        </w:r>
      </w:hyperlink>
      <w:r>
        <w:tab/>
      </w:r>
      <w:r>
        <w:fldChar w:fldCharType="begin"/>
      </w:r>
      <w:r>
        <w:instrText xml:space="preserve"> PAGEREF _Toc90031 \h </w:instrText>
      </w:r>
      <w:r>
        <w:fldChar w:fldCharType="separate"/>
      </w:r>
      <w:r>
        <w:t>1</w:t>
      </w:r>
      <w:r>
        <w:fldChar w:fldCharType="end"/>
      </w:r>
    </w:p>
    <w:p>
      <w:pPr>
        <w:pStyle w:val="TOC2"/>
        <w:spacing w:before="0" w:after="0"/>
        <w:jc w:val="left"/>
      </w:pPr>
      <w:hyperlink w:anchor="_Toc90032">
        <w:r>
          <w:t xml:space="preserve">6.3 疏散与撤离</w:t>
        </w:r>
      </w:hyperlink>
      <w:r>
        <w:tab/>
      </w:r>
      <w:r>
        <w:fldChar w:fldCharType="begin"/>
      </w:r>
      <w:r>
        <w:instrText xml:space="preserve"> PAGEREF _Toc90032 \h </w:instrText>
      </w:r>
      <w:r>
        <w:fldChar w:fldCharType="separate"/>
      </w:r>
      <w:r>
        <w:t>1</w:t>
      </w:r>
      <w:r>
        <w:fldChar w:fldCharType="end"/>
      </w:r>
    </w:p>
    <w:p>
      <w:pPr>
        <w:pStyle w:val="TOC2"/>
        <w:spacing w:before="0" w:after="0"/>
        <w:jc w:val="left"/>
      </w:pPr>
      <w:hyperlink w:anchor="_Toc90033">
        <w:r>
          <w:t xml:space="preserve">6.4 监测通讯</w:t>
        </w:r>
      </w:hyperlink>
      <w:r>
        <w:tab/>
      </w:r>
      <w:r>
        <w:fldChar w:fldCharType="begin"/>
      </w:r>
      <w:r>
        <w:instrText xml:space="preserve"> PAGEREF _Toc90033 \h </w:instrText>
      </w:r>
      <w:r>
        <w:fldChar w:fldCharType="separate"/>
      </w:r>
      <w:r>
        <w:t>1</w:t>
      </w:r>
      <w:r>
        <w:fldChar w:fldCharType="end"/>
      </w:r>
    </w:p>
    <w:p>
      <w:pPr>
        <w:pStyle w:val="TOC2"/>
        <w:spacing w:before="0" w:after="0"/>
        <w:jc w:val="left"/>
      </w:pPr>
      <w:hyperlink w:anchor="_Toc90034">
        <w:r>
          <w:t xml:space="preserve">6.5 应急终止</w:t>
        </w:r>
      </w:hyperlink>
      <w:r>
        <w:tab/>
      </w:r>
      <w:r>
        <w:fldChar w:fldCharType="begin"/>
      </w:r>
      <w:r>
        <w:instrText xml:space="preserve"> PAGEREF _Toc90034 \h </w:instrText>
      </w:r>
      <w:r>
        <w:fldChar w:fldCharType="separate"/>
      </w:r>
      <w:r>
        <w:t>1</w:t>
      </w:r>
      <w:r>
        <w:fldChar w:fldCharType="end"/>
      </w:r>
    </w:p>
    <w:p>
      <w:pPr>
        <w:pStyle w:val="TOC2"/>
        <w:spacing w:before="0" w:after="0"/>
        <w:jc w:val="left"/>
      </w:pPr>
      <w:hyperlink w:anchor="_Toc90035">
        <w:r>
          <w:t xml:space="preserve">6.6 信息报告与发布</w:t>
        </w:r>
      </w:hyperlink>
      <w:r>
        <w:tab/>
      </w:r>
      <w:r>
        <w:fldChar w:fldCharType="begin"/>
      </w:r>
      <w:r>
        <w:instrText xml:space="preserve"> PAGEREF _Toc90035 \h </w:instrText>
      </w:r>
      <w:r>
        <w:fldChar w:fldCharType="separate"/>
      </w:r>
      <w:r>
        <w:t>1</w:t>
      </w:r>
      <w:r>
        <w:fldChar w:fldCharType="end"/>
      </w:r>
    </w:p>
    <w:p>
      <w:pPr>
        <w:pStyle w:val="TOC1"/>
        <w:spacing w:before="0" w:after="0"/>
        <w:jc w:val="left"/>
      </w:pPr>
      <w:hyperlink w:anchor="_Toc90036">
        <w:r>
          <w:t xml:space="preserve">7 后期处置</w:t>
        </w:r>
      </w:hyperlink>
      <w:r>
        <w:tab/>
      </w:r>
      <w:r>
        <w:fldChar w:fldCharType="begin"/>
      </w:r>
      <w:r>
        <w:instrText xml:space="preserve"> PAGEREF _Toc90036 \h </w:instrText>
      </w:r>
      <w:r>
        <w:fldChar w:fldCharType="separate"/>
      </w:r>
      <w:r>
        <w:t>1</w:t>
      </w:r>
      <w:r>
        <w:fldChar w:fldCharType="end"/>
      </w:r>
    </w:p>
    <w:p>
      <w:pPr>
        <w:pStyle w:val="TOC2"/>
        <w:spacing w:before="0" w:after="0"/>
        <w:jc w:val="left"/>
      </w:pPr>
      <w:hyperlink w:anchor="_Toc90037">
        <w:r>
          <w:t xml:space="preserve">7.1 善后处置与恢复重建</w:t>
        </w:r>
      </w:hyperlink>
      <w:r>
        <w:tab/>
      </w:r>
      <w:r>
        <w:fldChar w:fldCharType="begin"/>
      </w:r>
      <w:r>
        <w:instrText xml:space="preserve"> PAGEREF _Toc90037 \h </w:instrText>
      </w:r>
      <w:r>
        <w:fldChar w:fldCharType="separate"/>
      </w:r>
      <w:r>
        <w:t>1</w:t>
      </w:r>
      <w:r>
        <w:fldChar w:fldCharType="end"/>
      </w:r>
    </w:p>
    <w:p>
      <w:pPr>
        <w:pStyle w:val="TOC2"/>
        <w:spacing w:before="0" w:after="0"/>
        <w:jc w:val="left"/>
      </w:pPr>
      <w:hyperlink w:anchor="_Toc90038">
        <w:r>
          <w:t xml:space="preserve">7.2 调查与评估</w:t>
        </w:r>
      </w:hyperlink>
      <w:r>
        <w:tab/>
      </w:r>
      <w:r>
        <w:fldChar w:fldCharType="begin"/>
      </w:r>
      <w:r>
        <w:instrText xml:space="preserve"> PAGEREF _Toc90038 \h </w:instrText>
      </w:r>
      <w:r>
        <w:fldChar w:fldCharType="separate"/>
      </w:r>
      <w:r>
        <w:t>1</w:t>
      </w:r>
      <w:r>
        <w:fldChar w:fldCharType="end"/>
      </w:r>
    </w:p>
    <w:p>
      <w:pPr>
        <w:pStyle w:val="TOC1"/>
        <w:spacing w:before="0" w:after="0"/>
        <w:jc w:val="left"/>
      </w:pPr>
      <w:hyperlink w:anchor="_Toc90039">
        <w:r>
          <w:t xml:space="preserve">8 应急保障</w:t>
        </w:r>
      </w:hyperlink>
      <w:r>
        <w:tab/>
      </w:r>
      <w:r>
        <w:fldChar w:fldCharType="begin"/>
      </w:r>
      <w:r>
        <w:instrText xml:space="preserve"> PAGEREF _Toc90039 \h </w:instrText>
      </w:r>
      <w:r>
        <w:fldChar w:fldCharType="separate"/>
      </w:r>
      <w:r>
        <w:t>1</w:t>
      </w:r>
      <w:r>
        <w:fldChar w:fldCharType="end"/>
      </w:r>
    </w:p>
    <w:p>
      <w:pPr>
        <w:pStyle w:val="TOC2"/>
        <w:spacing w:before="0" w:after="0"/>
        <w:jc w:val="left"/>
      </w:pPr>
      <w:hyperlink w:anchor="_Toc90040">
        <w:r>
          <w:t xml:space="preserve">8.1 应急队伍保障</w:t>
        </w:r>
      </w:hyperlink>
      <w:r>
        <w:tab/>
      </w:r>
      <w:r>
        <w:fldChar w:fldCharType="begin"/>
      </w:r>
      <w:r>
        <w:instrText xml:space="preserve"> PAGEREF _Toc90040 \h </w:instrText>
      </w:r>
      <w:r>
        <w:fldChar w:fldCharType="separate"/>
      </w:r>
      <w:r>
        <w:t>1</w:t>
      </w:r>
      <w:r>
        <w:fldChar w:fldCharType="end"/>
      </w:r>
    </w:p>
    <w:p>
      <w:pPr>
        <w:pStyle w:val="TOC2"/>
        <w:spacing w:before="0" w:after="0"/>
        <w:jc w:val="left"/>
      </w:pPr>
      <w:hyperlink w:anchor="_Toc90041">
        <w:r>
          <w:t xml:space="preserve">8.2 资金保障</w:t>
        </w:r>
      </w:hyperlink>
      <w:r>
        <w:tab/>
      </w:r>
      <w:r>
        <w:fldChar w:fldCharType="begin"/>
      </w:r>
      <w:r>
        <w:instrText xml:space="preserve"> PAGEREF _Toc90041 \h </w:instrText>
      </w:r>
      <w:r>
        <w:fldChar w:fldCharType="separate"/>
      </w:r>
      <w:r>
        <w:t>1</w:t>
      </w:r>
      <w:r>
        <w:fldChar w:fldCharType="end"/>
      </w:r>
    </w:p>
    <w:p>
      <w:pPr>
        <w:pStyle w:val="TOC2"/>
        <w:spacing w:before="0" w:after="0"/>
        <w:jc w:val="left"/>
      </w:pPr>
      <w:hyperlink w:anchor="_Toc90042">
        <w:r>
          <w:t xml:space="preserve">8.3 通讯与信息保障</w:t>
        </w:r>
      </w:hyperlink>
      <w:r>
        <w:tab/>
      </w:r>
      <w:r>
        <w:fldChar w:fldCharType="begin"/>
      </w:r>
      <w:r>
        <w:instrText xml:space="preserve"> PAGEREF _Toc90042 \h </w:instrText>
      </w:r>
      <w:r>
        <w:fldChar w:fldCharType="separate"/>
      </w:r>
      <w:r>
        <w:t>1</w:t>
      </w:r>
      <w:r>
        <w:fldChar w:fldCharType="end"/>
      </w:r>
    </w:p>
    <w:p>
      <w:pPr>
        <w:pStyle w:val="TOC2"/>
        <w:spacing w:before="0" w:after="0"/>
        <w:jc w:val="left"/>
      </w:pPr>
      <w:hyperlink w:anchor="_Toc90043">
        <w:r>
          <w:t xml:space="preserve">8.4 应急物资储备保障</w:t>
        </w:r>
      </w:hyperlink>
      <w:r>
        <w:tab/>
      </w:r>
      <w:r>
        <w:fldChar w:fldCharType="begin"/>
      </w:r>
      <w:r>
        <w:instrText xml:space="preserve"> PAGEREF _Toc90043 \h </w:instrText>
      </w:r>
      <w:r>
        <w:fldChar w:fldCharType="separate"/>
      </w:r>
      <w:r>
        <w:t>1</w:t>
      </w:r>
      <w:r>
        <w:fldChar w:fldCharType="end"/>
      </w:r>
    </w:p>
    <w:p>
      <w:pPr>
        <w:pStyle w:val="TOC2"/>
        <w:spacing w:before="0" w:after="0"/>
        <w:jc w:val="left"/>
      </w:pPr>
      <w:hyperlink w:anchor="_Toc90044">
        <w:r>
          <w:t xml:space="preserve">8.5 其它保障</w:t>
        </w:r>
      </w:hyperlink>
      <w:r>
        <w:tab/>
      </w:r>
      <w:r>
        <w:fldChar w:fldCharType="begin"/>
      </w:r>
      <w:r>
        <w:instrText xml:space="preserve"> PAGEREF _Toc90044 \h </w:instrText>
      </w:r>
      <w:r>
        <w:fldChar w:fldCharType="separate"/>
      </w:r>
      <w:r>
        <w:t>1</w:t>
      </w:r>
      <w:r>
        <w:fldChar w:fldCharType="end"/>
      </w:r>
    </w:p>
    <w:p>
      <w:pPr>
        <w:pStyle w:val="TOC1"/>
        <w:spacing w:before="0" w:after="0"/>
        <w:jc w:val="left"/>
      </w:pPr>
      <w:hyperlink w:anchor="_Toc90045">
        <w:r>
          <w:t xml:space="preserve">9 监督管理</w:t>
        </w:r>
      </w:hyperlink>
      <w:r>
        <w:tab/>
      </w:r>
      <w:r>
        <w:fldChar w:fldCharType="begin"/>
      </w:r>
      <w:r>
        <w:instrText xml:space="preserve"> PAGEREF _Toc90045 \h </w:instrText>
      </w:r>
      <w:r>
        <w:fldChar w:fldCharType="separate"/>
      </w:r>
      <w:r>
        <w:t>1</w:t>
      </w:r>
      <w:r>
        <w:fldChar w:fldCharType="end"/>
      </w:r>
    </w:p>
    <w:p>
      <w:pPr>
        <w:pStyle w:val="TOC2"/>
        <w:spacing w:before="0" w:after="0"/>
        <w:jc w:val="left"/>
      </w:pPr>
      <w:hyperlink w:anchor="_Toc90046">
        <w:r>
          <w:t xml:space="preserve">9.1 培训与演练</w:t>
        </w:r>
      </w:hyperlink>
      <w:r>
        <w:tab/>
      </w:r>
      <w:r>
        <w:fldChar w:fldCharType="begin"/>
      </w:r>
      <w:r>
        <w:instrText xml:space="preserve"> PAGEREF _Toc90046 \h </w:instrText>
      </w:r>
      <w:r>
        <w:fldChar w:fldCharType="separate"/>
      </w:r>
      <w:r>
        <w:t>1</w:t>
      </w:r>
      <w:r>
        <w:fldChar w:fldCharType="end"/>
      </w:r>
    </w:p>
    <w:p>
      <w:pPr>
        <w:pStyle w:val="TOC2"/>
        <w:spacing w:before="0" w:after="0"/>
        <w:jc w:val="left"/>
      </w:pPr>
      <w:hyperlink w:anchor="_Toc90047">
        <w:r>
          <w:t xml:space="preserve">9.2 奖励与责任追究</w:t>
        </w:r>
      </w:hyperlink>
      <w:r>
        <w:tab/>
      </w:r>
      <w:r>
        <w:fldChar w:fldCharType="begin"/>
      </w:r>
      <w:r>
        <w:instrText xml:space="preserve"> PAGEREF _Toc90047 \h </w:instrText>
      </w:r>
      <w:r>
        <w:fldChar w:fldCharType="separate"/>
      </w:r>
      <w:r>
        <w:t>1</w:t>
      </w:r>
      <w:r>
        <w:fldChar w:fldCharType="end"/>
      </w:r>
    </w:p>
    <w:p>
      <w:pPr>
        <w:pStyle w:val="TOC1"/>
        <w:spacing w:before="0" w:after="0"/>
        <w:jc w:val="left"/>
      </w:pPr>
      <w:hyperlink w:anchor="_Toc90048">
        <w:r>
          <w:t xml:space="preserve">10 附则</w:t>
        </w:r>
      </w:hyperlink>
      <w:r>
        <w:tab/>
      </w:r>
      <w:r>
        <w:fldChar w:fldCharType="begin"/>
      </w:r>
      <w:r>
        <w:instrText xml:space="preserve"> PAGEREF _Toc90048 \h </w:instrText>
      </w:r>
      <w:r>
        <w:fldChar w:fldCharType="separate"/>
      </w:r>
      <w:r>
        <w:t>1</w:t>
      </w:r>
      <w:r>
        <w:fldChar w:fldCharType="end"/>
      </w:r>
    </w:p>
    <w:p>
      <w:pPr>
        <w:pStyle w:val="TOC2"/>
        <w:spacing w:before="0" w:after="0"/>
        <w:jc w:val="left"/>
      </w:pPr>
      <w:hyperlink w:anchor="_Toc90049">
        <w:r>
          <w:t xml:space="preserve">10.1 术语和定义</w:t>
        </w:r>
      </w:hyperlink>
      <w:r>
        <w:tab/>
      </w:r>
      <w:r>
        <w:fldChar w:fldCharType="begin"/>
      </w:r>
      <w:r>
        <w:instrText xml:space="preserve"> PAGEREF _Toc90049 \h </w:instrText>
      </w:r>
      <w:r>
        <w:fldChar w:fldCharType="separate"/>
      </w:r>
      <w:r>
        <w:t>1</w:t>
      </w:r>
      <w:r>
        <w:fldChar w:fldCharType="end"/>
      </w:r>
    </w:p>
    <w:p>
      <w:pPr>
        <w:pStyle w:val="TOC2"/>
        <w:spacing w:before="0" w:after="0"/>
        <w:jc w:val="left"/>
      </w:pPr>
      <w:hyperlink w:anchor="_Toc90050">
        <w:r>
          <w:t xml:space="preserve">10.2 制定与修订</w:t>
        </w:r>
      </w:hyperlink>
      <w:r>
        <w:tab/>
      </w:r>
      <w:r>
        <w:fldChar w:fldCharType="begin"/>
      </w:r>
      <w:r>
        <w:instrText xml:space="preserve"> PAGEREF _Toc90050 \h </w:instrText>
      </w:r>
      <w:r>
        <w:fldChar w:fldCharType="separate"/>
      </w:r>
      <w:r>
        <w:t>1</w:t>
      </w:r>
      <w:r>
        <w:fldChar w:fldCharType="end"/>
      </w:r>
    </w:p>
    <w:p>
      <w:pPr>
        <w:pStyle w:val="TOC2"/>
        <w:spacing w:before="0" w:after="0"/>
        <w:jc w:val="left"/>
      </w:pPr>
      <w:hyperlink w:anchor="_Toc90051">
        <w:r>
          <w:t xml:space="preserve">10.3 应急预案实施</w:t>
        </w:r>
      </w:hyperlink>
      <w:r>
        <w:tab/>
      </w:r>
      <w:r>
        <w:fldChar w:fldCharType="begin"/>
      </w:r>
      <w:r>
        <w:instrText xml:space="preserve"> PAGEREF _Toc90051 \h </w:instrText>
      </w:r>
      <w:r>
        <w:fldChar w:fldCharType="separate"/>
      </w:r>
      <w:r>
        <w:t>1</w:t>
      </w:r>
      <w:r>
        <w:fldChar w:fldCharType="end"/>
      </w:r>
    </w:p>
    <w:p>
      <w:pPr>
        <w:pStyle w:val="TOC1"/>
        <w:spacing w:before="0" w:after="0"/>
        <w:jc w:val="left"/>
      </w:pPr>
      <w:hyperlink w:anchor="_Toc90052">
        <w:r>
          <w:t xml:space="preserve">附件1：营业执照</w:t>
        </w:r>
      </w:hyperlink>
      <w:r>
        <w:tab/>
      </w:r>
      <w:r>
        <w:fldChar w:fldCharType="begin"/>
      </w:r>
      <w:r>
        <w:instrText xml:space="preserve"> PAGEREF _Toc90052 \h </w:instrText>
      </w:r>
      <w:r>
        <w:fldChar w:fldCharType="separate"/>
      </w:r>
      <w:r>
        <w:t>1</w:t>
      </w:r>
      <w:r>
        <w:fldChar w:fldCharType="end"/>
      </w:r>
    </w:p>
    <w:p>
      <w:pPr>
        <w:pStyle w:val="TOC1"/>
        <w:spacing w:before="0" w:after="0"/>
        <w:jc w:val="left"/>
      </w:pPr>
      <w:hyperlink w:anchor="_Toc90053">
        <w:r>
          <w:t xml:space="preserve">附件2：土地证明</w:t>
        </w:r>
      </w:hyperlink>
      <w:r>
        <w:tab/>
      </w:r>
      <w:r>
        <w:fldChar w:fldCharType="begin"/>
      </w:r>
      <w:r>
        <w:instrText xml:space="preserve"> PAGEREF _Toc90053 \h </w:instrText>
      </w:r>
      <w:r>
        <w:fldChar w:fldCharType="separate"/>
      </w:r>
      <w:r>
        <w:t>1</w:t>
      </w:r>
      <w:r>
        <w:fldChar w:fldCharType="end"/>
      </w:r>
    </w:p>
    <w:p>
      <w:pPr>
        <w:pStyle w:val="TOC1"/>
        <w:spacing w:before="0" w:after="0"/>
        <w:jc w:val="left"/>
      </w:pPr>
      <w:hyperlink w:anchor="_Toc90054">
        <w:r>
          <w:t xml:space="preserve">附件3：突发环境事件规范化格式文本</w:t>
        </w:r>
      </w:hyperlink>
      <w:r>
        <w:tab/>
      </w:r>
      <w:r>
        <w:fldChar w:fldCharType="begin"/>
      </w:r>
      <w:r>
        <w:instrText xml:space="preserve"> PAGEREF _Toc90054 \h </w:instrText>
      </w:r>
      <w:r>
        <w:fldChar w:fldCharType="separate"/>
      </w:r>
      <w:r>
        <w:t>1</w:t>
      </w:r>
      <w:r>
        <w:fldChar w:fldCharType="end"/>
      </w:r>
    </w:p>
    <w:p>
      <w:pPr>
        <w:pStyle w:val="TOC1"/>
        <w:spacing w:before="0" w:after="0"/>
        <w:jc w:val="left"/>
      </w:pPr>
      <w:hyperlink w:anchor="_Toc90055">
        <w:r>
          <w:t xml:space="preserve">附件4：监测通讯方案</w:t>
        </w:r>
      </w:hyperlink>
      <w:r>
        <w:tab/>
      </w:r>
      <w:r>
        <w:fldChar w:fldCharType="begin"/>
      </w:r>
      <w:r>
        <w:instrText xml:space="preserve"> PAGEREF _Toc90055 \h </w:instrText>
      </w:r>
      <w:r>
        <w:fldChar w:fldCharType="separate"/>
      </w:r>
      <w:r>
        <w:t>1</w:t>
      </w:r>
      <w:r>
        <w:fldChar w:fldCharType="end"/>
      </w:r>
    </w:p>
    <w:p>
      <w:pPr>
        <w:pStyle w:val="TOC1"/>
        <w:spacing w:before="0" w:after="0"/>
        <w:jc w:val="left"/>
      </w:pPr>
      <w:hyperlink w:anchor="_Toc90056">
        <w:r>
          <w:t xml:space="preserve">附件5：应急互救协议</w:t>
        </w:r>
      </w:hyperlink>
      <w:r>
        <w:tab/>
      </w:r>
      <w:r>
        <w:fldChar w:fldCharType="begin"/>
      </w:r>
      <w:r>
        <w:instrText xml:space="preserve"> PAGEREF _Toc90056 \h </w:instrText>
      </w:r>
      <w:r>
        <w:fldChar w:fldCharType="separate"/>
      </w:r>
      <w:r>
        <w:t>1</w:t>
      </w:r>
      <w:r>
        <w:fldChar w:fldCharType="end"/>
      </w:r>
    </w:p>
    <w:p>
      <w:pPr>
        <w:pStyle w:val="TOC1"/>
        <w:spacing w:before="0" w:after="0"/>
        <w:jc w:val="left"/>
      </w:pPr>
      <w:hyperlink w:anchor="_Toc90057">
        <w:r>
          <w:t xml:space="preserve">附件6：危险废物处置合同</w:t>
        </w:r>
      </w:hyperlink>
      <w:r>
        <w:tab/>
      </w:r>
      <w:r>
        <w:fldChar w:fldCharType="begin"/>
      </w:r>
      <w:r>
        <w:instrText xml:space="preserve"> PAGEREF _Toc90057 \h </w:instrText>
      </w:r>
      <w:r>
        <w:fldChar w:fldCharType="separate"/>
      </w:r>
      <w:r>
        <w:t>1</w:t>
      </w:r>
      <w:r>
        <w:fldChar w:fldCharType="end"/>
      </w:r>
    </w:p>
    <w:p>
      <w:pPr>
        <w:pStyle w:val="TOC1"/>
        <w:spacing w:before="0" w:after="0"/>
        <w:jc w:val="left"/>
      </w:pPr>
      <w:hyperlink w:anchor="_Toc90058">
        <w:r>
          <w:t xml:space="preserve">附件7：应急指挥通讯录</w:t>
        </w:r>
      </w:hyperlink>
      <w:r>
        <w:tab/>
      </w:r>
      <w:r>
        <w:fldChar w:fldCharType="begin"/>
      </w:r>
      <w:r>
        <w:instrText xml:space="preserve"> PAGEREF _Toc90058 \h </w:instrText>
      </w:r>
      <w:r>
        <w:fldChar w:fldCharType="separate"/>
      </w:r>
      <w:r>
        <w:t>1</w:t>
      </w:r>
      <w:r>
        <w:fldChar w:fldCharType="end"/>
      </w:r>
    </w:p>
    <w:p>
      <w:pPr>
        <w:pStyle w:val="TOC1"/>
        <w:spacing w:before="0" w:after="0"/>
        <w:jc w:val="left"/>
      </w:pPr>
      <w:hyperlink w:anchor="_Toc90059">
        <w:r>
          <w:t xml:space="preserve">附件8：环境应急物资储备清单</w:t>
        </w:r>
      </w:hyperlink>
      <w:r>
        <w:tab/>
      </w:r>
      <w:r>
        <w:fldChar w:fldCharType="begin"/>
      </w:r>
      <w:r>
        <w:instrText xml:space="preserve"> PAGEREF _Toc90059 \h </w:instrText>
      </w:r>
      <w:r>
        <w:fldChar w:fldCharType="separate"/>
      </w:r>
      <w:r>
        <w:t>1</w:t>
      </w:r>
      <w:r>
        <w:fldChar w:fldCharType="end"/>
      </w:r>
    </w:p>
    <w:p>
      <w:pPr>
        <w:pStyle w:val="TOC1"/>
        <w:spacing w:before="0" w:after="0"/>
        <w:jc w:val="left"/>
      </w:pPr>
      <w:hyperlink w:anchor="_Toc90060">
        <w:r>
          <w:t xml:space="preserve">附件9：危险废物专项应急预案</w:t>
        </w:r>
      </w:hyperlink>
      <w:r>
        <w:tab/>
      </w:r>
      <w:r>
        <w:fldChar w:fldCharType="begin"/>
      </w:r>
      <w:r>
        <w:instrText xml:space="preserve"> PAGEREF _Toc90060 \h </w:instrText>
      </w:r>
      <w:r>
        <w:fldChar w:fldCharType="separate"/>
      </w:r>
      <w:r>
        <w:t>1</w:t>
      </w:r>
      <w:r>
        <w:fldChar w:fldCharType="end"/>
      </w:r>
    </w:p>
    <w:p>
      <w:pPr>
        <w:pStyle w:val="TOC1"/>
        <w:spacing w:before="0" w:after="0"/>
        <w:jc w:val="left"/>
      </w:pPr>
      <w:hyperlink w:anchor="_Toc90061">
        <w:r>
          <w:t xml:space="preserve">附件10：现场处置预案</w:t>
        </w:r>
      </w:hyperlink>
      <w:r>
        <w:tab/>
      </w:r>
      <w:r>
        <w:fldChar w:fldCharType="begin"/>
      </w:r>
      <w:r>
        <w:instrText xml:space="preserve"> PAGEREF _Toc90061 \h </w:instrText>
      </w:r>
      <w:r>
        <w:fldChar w:fldCharType="separate"/>
      </w:r>
      <w:r>
        <w:t>1</w:t>
      </w:r>
      <w:r>
        <w:fldChar w:fldCharType="end"/>
      </w:r>
    </w:p>
    <w:p>
      <w:pPr>
        <w:pStyle w:val="TOC1"/>
        <w:spacing w:before="0" w:after="0"/>
        <w:jc w:val="left"/>
      </w:pPr>
      <w:hyperlink w:anchor="_Toc90062">
        <w:r>
          <w:t xml:space="preserve">附图1：地理位置图</w:t>
        </w:r>
      </w:hyperlink>
      <w:r>
        <w:tab/>
      </w:r>
      <w:r>
        <w:fldChar w:fldCharType="begin"/>
      </w:r>
      <w:r>
        <w:instrText xml:space="preserve"> PAGEREF _Toc90062 \h </w:instrText>
      </w:r>
      <w:r>
        <w:fldChar w:fldCharType="separate"/>
      </w:r>
      <w:r>
        <w:t>1</w:t>
      </w:r>
      <w:r>
        <w:fldChar w:fldCharType="end"/>
      </w:r>
    </w:p>
    <w:p>
      <w:pPr>
        <w:pStyle w:val="TOC1"/>
        <w:spacing w:before="0" w:after="0"/>
        <w:jc w:val="left"/>
      </w:pPr>
      <w:hyperlink w:anchor="_Toc90063">
        <w:r>
          <w:t xml:space="preserve">附图2：厂区平面图</w:t>
        </w:r>
      </w:hyperlink>
      <w:r>
        <w:tab/>
      </w:r>
      <w:r>
        <w:fldChar w:fldCharType="begin"/>
      </w:r>
      <w:r>
        <w:instrText xml:space="preserve"> PAGEREF _Toc90063 \h </w:instrText>
      </w:r>
      <w:r>
        <w:fldChar w:fldCharType="separate"/>
      </w:r>
      <w:r>
        <w:t>1</w:t>
      </w:r>
      <w:r>
        <w:fldChar w:fldCharType="end"/>
      </w:r>
    </w:p>
    <w:p>
      <w:pPr>
        <w:pStyle w:val="TOC1"/>
        <w:spacing w:before="0" w:after="0"/>
        <w:jc w:val="left"/>
      </w:pPr>
      <w:hyperlink w:anchor="_Toc90064">
        <w:r>
          <w:t xml:space="preserve">附图3：厂区周边关系图</w:t>
        </w:r>
      </w:hyperlink>
      <w:r>
        <w:tab/>
      </w:r>
      <w:r>
        <w:fldChar w:fldCharType="begin"/>
      </w:r>
      <w:r>
        <w:instrText xml:space="preserve"> PAGEREF _Toc90064 \h </w:instrText>
      </w:r>
      <w:r>
        <w:fldChar w:fldCharType="separate"/>
      </w:r>
      <w:r>
        <w:t>1</w:t>
      </w:r>
      <w:r>
        <w:fldChar w:fldCharType="end"/>
      </w:r>
    </w:p>
    <w:p>
      <w:pPr>
        <w:pStyle w:val="TOC1"/>
        <w:spacing w:before="0" w:after="0"/>
        <w:jc w:val="left"/>
      </w:pPr>
      <w:hyperlink w:anchor="_Toc90065">
        <w:r>
          <w:t xml:space="preserve">附图4：厂区应急设施（备）、应急物资储备分布图</w:t>
        </w:r>
      </w:hyperlink>
      <w:r>
        <w:tab/>
      </w:r>
      <w:r>
        <w:fldChar w:fldCharType="begin"/>
      </w:r>
      <w:r>
        <w:instrText xml:space="preserve"> PAGEREF _Toc90065 \h </w:instrText>
      </w:r>
      <w:r>
        <w:fldChar w:fldCharType="separate"/>
      </w:r>
      <w:r>
        <w:t>1</w:t>
      </w:r>
      <w:r>
        <w:fldChar w:fldCharType="end"/>
      </w:r>
    </w:p>
    <w:p>
      <w:pPr>
        <w:pStyle w:val="TOC1"/>
        <w:spacing w:before="0" w:after="0"/>
        <w:jc w:val="left"/>
      </w:pPr>
      <w:hyperlink w:anchor="_Toc90066">
        <w:r>
          <w:t xml:space="preserve">附图5：周边敏感点分布图</w:t>
        </w:r>
      </w:hyperlink>
      <w:r>
        <w:tab/>
      </w:r>
      <w:r>
        <w:fldChar w:fldCharType="begin"/>
      </w:r>
      <w:r>
        <w:instrText xml:space="preserve"> PAGEREF _Toc90066 \h </w:instrText>
      </w:r>
      <w:r>
        <w:fldChar w:fldCharType="separate"/>
      </w:r>
      <w:r>
        <w:t>1</w:t>
      </w:r>
      <w:r>
        <w:fldChar w:fldCharType="end"/>
      </w:r>
    </w:p>
    <w:p>
      <w:pPr>
        <w:pStyle w:val="TOC1"/>
        <w:spacing w:before="0" w:after="0"/>
        <w:jc w:val="left"/>
      </w:pPr>
      <w:hyperlink w:anchor="_Toc90067">
        <w:r>
          <w:t xml:space="preserve">附图6：厂区应急疏散路线分布图</w:t>
        </w:r>
      </w:hyperlink>
      <w:r>
        <w:tab/>
      </w:r>
      <w:r>
        <w:fldChar w:fldCharType="begin"/>
      </w:r>
      <w:r>
        <w:instrText xml:space="preserve"> PAGEREF _Toc90067 \h </w:instrText>
      </w:r>
      <w:r>
        <w:fldChar w:fldCharType="separate"/>
      </w:r>
      <w:r>
        <w:t>1</w:t>
      </w:r>
      <w:r>
        <w:fldChar w:fldCharType="end"/>
      </w:r>
    </w:p>
    <w:p>
      <w:pPr>
        <w:pStyle w:val="TOC1"/>
        <w:spacing w:before="0" w:after="0"/>
        <w:jc w:val="left"/>
      </w:pPr>
      <w:hyperlink w:anchor="_Toc90068">
        <w:r>
          <w:t xml:space="preserve">附图7：厂区雨、污排水管路图</w:t>
        </w:r>
      </w:hyperlink>
      <w:r>
        <w:tab/>
      </w:r>
      <w:r>
        <w:fldChar w:fldCharType="begin"/>
      </w:r>
      <w:r>
        <w:instrText xml:space="preserve"> PAGEREF _Toc90068 \h </w:instrText>
      </w:r>
      <w:r>
        <w:fldChar w:fldCharType="separate"/>
      </w:r>
      <w:r>
        <w:t>1</w:t>
      </w:r>
      <w:r>
        <w:fldChar w:fldCharType="end"/>
      </w:r>
    </w:p>
    <w:p>
      <w:pPr>
        <w:sectPr>
          <w:headerReference w:type="default" r:id="rId13"/>
          <w:footerReference w:type="default" r:id="rId14"/>
          <w:type w:val="nextPage"/>
          <w:pgSz w:w="11906" w:h="16838"/>
          <w:pgMar w:top="1440" w:right="1701" w:bottom="1440" w:left="1701" w:header="851" w:footer="1042" w:gutter="0"/>
          <w:cols w:space="720"/>
          <w:docGrid w:type="lines" w:linePitch="312" w:charSpace="0"/>
        </w:sectPr>
      </w:pPr>
    </w:p>
    <w:p>
      <w:pPr>
        <w:spacing w:line="500" w:lineRule="exact" w:before="0" w:after="0"/>
        <w:jc w:val="center"/>
      </w:pPr>
      <w:r>
        <w:rPr>
          <w:rFonts w:ascii="Times New Roman" w:hAnsi="Times New Roman" w:eastAsia="宋体"/>
          <w:sz w:val="28"/>
          <w:b/>
        </w:rPr>
        <w:t>环境应急综合预案</w:t>
      </w:r>
    </w:p>
    <w:p>
      <w:pPr>
        <w:pStyle w:val="Heading1"/>
        <w:spacing w:line="500" w:lineRule="exact" w:before="0" w:after="0"/>
        <w:jc w:val="left"/>
        <w:outlineLvl w:val="0"/>
      </w:pPr>
      <w:bookmarkStart w:id="90001" w:name="_Toc90001"/>
      <w:r>
        <w:rPr>
          <w:rFonts w:ascii="Times New Roman" w:hAnsi="Times New Roman" w:eastAsia="宋体"/>
          <w:sz w:val="30"/>
          <w:b/>
        </w:rPr>
        <w:t>1 总则</w:t>
      </w:r>
      <w:bookmarkEnd w:id="90001"/>
    </w:p>
    <w:p>
      <w:pPr>
        <w:pStyle w:val="Heading2"/>
        <w:spacing w:line="500" w:lineRule="exact" w:before="0" w:after="0"/>
        <w:jc w:val="left"/>
        <w:outlineLvl w:val="1"/>
      </w:pPr>
      <w:bookmarkStart w:id="90002" w:name="_Toc90002"/>
      <w:r>
        <w:rPr>
          <w:rFonts w:ascii="Times New Roman" w:hAnsi="Times New Roman" w:eastAsia="宋体"/>
          <w:sz w:val="28"/>
          <w:b/>
        </w:rPr>
        <w:t>1.1 编制目的</w:t>
      </w:r>
      <w:bookmarkEnd w:id="90002"/>
    </w:p>
    <w:p>
      <w:pPr>
        <w:spacing w:line="500" w:lineRule="exact" w:before="0" w:after="0"/>
        <w:ind w:firstLineChars="200"/>
        <w:jc w:val="left"/>
      </w:pPr>
      <w:r>
        <w:rPr>
          <w:rFonts w:ascii="Times New Roman" w:hAnsi="Times New Roman" w:eastAsia="宋体"/>
          <w:sz w:val="24"/>
        </w:rPr>
        <w:t>为建立健全泰安示例新材料科技有限公司突发环境事件应急机制，提高本单位应对突发环境事件的能力，在突发环境事件发生后能够迅速、有序、有效地开展应急处置，最大限度减少污染物排放、降低对周边环境敏感受体的影响，保障公众生命财产安全和生态环境安全，特编制本预案。</w:t>
      </w:r>
    </w:p>
    <w:p>
      <w:pPr>
        <w:pStyle w:val="Heading2"/>
        <w:spacing w:line="500" w:lineRule="exact" w:before="0" w:after="0"/>
        <w:jc w:val="left"/>
        <w:outlineLvl w:val="1"/>
      </w:pPr>
      <w:bookmarkStart w:id="90003" w:name="_Toc90003"/>
      <w:r>
        <w:rPr>
          <w:rFonts w:ascii="Times New Roman" w:hAnsi="Times New Roman" w:eastAsia="宋体"/>
          <w:sz w:val="28"/>
          <w:b/>
        </w:rPr>
        <w:t>1.2 编制依据</w:t>
      </w:r>
      <w:bookmarkEnd w:id="90003"/>
    </w:p>
    <w:p>
      <w:pPr>
        <w:spacing w:line="500" w:lineRule="exact" w:before="0" w:after="0"/>
        <w:ind w:firstLineChars="200"/>
        <w:jc w:val="left"/>
      </w:pPr>
      <w:r>
        <w:rPr>
          <w:rFonts w:ascii="Times New Roman" w:hAnsi="Times New Roman" w:eastAsia="宋体"/>
          <w:sz w:val="24"/>
        </w:rPr>
        <w:t>本预案依据下列法律法规、规章及标准规范编制：</w:t>
      </w:r>
    </w:p>
    <w:p>
      <w:pPr>
        <w:spacing w:line="500" w:lineRule="exact" w:before="0" w:after="0"/>
        <w:ind w:firstLineChars="200"/>
        <w:jc w:val="left"/>
      </w:pPr>
      <w:r>
        <w:rPr>
          <w:rFonts w:ascii="Times New Roman" w:hAnsi="Times New Roman" w:eastAsia="宋体"/>
          <w:sz w:val="24"/>
        </w:rPr>
        <w:t>（1）法律法规及规章</w:t>
      </w:r>
    </w:p>
    <w:p>
      <w:pPr>
        <w:spacing w:line="500" w:lineRule="exact" w:before="0" w:after="0"/>
        <w:ind w:firstLineChars="200"/>
        <w:jc w:val="left"/>
      </w:pPr>
      <w:r>
        <w:rPr>
          <w:rFonts w:ascii="Times New Roman" w:hAnsi="Times New Roman" w:eastAsia="宋体"/>
          <w:sz w:val="24"/>
        </w:rPr>
        <w:t>《中华人民共和国环境保护法》（中华人民共和国主席令第9号）</w:t>
      </w:r>
    </w:p>
    <w:p>
      <w:pPr>
        <w:spacing w:line="500" w:lineRule="exact" w:before="0" w:after="0"/>
        <w:ind w:firstLineChars="200"/>
        <w:jc w:val="left"/>
      </w:pPr>
      <w:r>
        <w:rPr>
          <w:rFonts w:ascii="Times New Roman" w:hAnsi="Times New Roman" w:eastAsia="宋体"/>
          <w:sz w:val="24"/>
        </w:rPr>
        <w:t>《中华人民共和国突发事件应对法》（中华人民共和国主席令第69号）</w:t>
      </w:r>
    </w:p>
    <w:p>
      <w:pPr>
        <w:spacing w:line="500" w:lineRule="exact" w:before="0" w:after="0"/>
        <w:ind w:firstLineChars="200"/>
        <w:jc w:val="left"/>
      </w:pPr>
      <w:r>
        <w:rPr>
          <w:rFonts w:ascii="Times New Roman" w:hAnsi="Times New Roman" w:eastAsia="宋体"/>
          <w:sz w:val="24"/>
        </w:rPr>
        <w:t>《中华人民共和国安全生产法》</w:t>
      </w:r>
    </w:p>
    <w:p>
      <w:pPr>
        <w:spacing w:line="500" w:lineRule="exact" w:before="0" w:after="0"/>
        <w:ind w:firstLineChars="200"/>
        <w:jc w:val="left"/>
      </w:pPr>
      <w:r>
        <w:rPr>
          <w:rFonts w:ascii="Times New Roman" w:hAnsi="Times New Roman" w:eastAsia="宋体"/>
          <w:sz w:val="24"/>
        </w:rPr>
        <w:t>《中华人民共和国水污染防治法》</w:t>
      </w:r>
    </w:p>
    <w:p>
      <w:pPr>
        <w:spacing w:line="500" w:lineRule="exact" w:before="0" w:after="0"/>
        <w:ind w:firstLineChars="200"/>
        <w:jc w:val="left"/>
      </w:pPr>
      <w:r>
        <w:rPr>
          <w:rFonts w:ascii="Times New Roman" w:hAnsi="Times New Roman" w:eastAsia="宋体"/>
          <w:sz w:val="24"/>
        </w:rPr>
        <w:t>《中华人民共和国大气污染防治法》</w:t>
      </w:r>
    </w:p>
    <w:p>
      <w:pPr>
        <w:spacing w:line="500" w:lineRule="exact" w:before="0" w:after="0"/>
        <w:ind w:firstLineChars="200"/>
        <w:jc w:val="left"/>
      </w:pPr>
      <w:r>
        <w:rPr>
          <w:rFonts w:ascii="Times New Roman" w:hAnsi="Times New Roman" w:eastAsia="宋体"/>
          <w:sz w:val="24"/>
        </w:rPr>
        <w:t>《中华人民共和国固体废物污染环境防治法》</w:t>
      </w:r>
    </w:p>
    <w:p>
      <w:pPr>
        <w:spacing w:line="500" w:lineRule="exact" w:before="0" w:after="0"/>
        <w:ind w:firstLineChars="200"/>
        <w:jc w:val="left"/>
      </w:pPr>
      <w:r>
        <w:rPr>
          <w:rFonts w:ascii="Times New Roman" w:hAnsi="Times New Roman" w:eastAsia="宋体"/>
          <w:sz w:val="24"/>
        </w:rPr>
        <w:t>《危险化学品安全管理条例》（国务院令第591号）</w:t>
      </w:r>
    </w:p>
    <w:p>
      <w:pPr>
        <w:spacing w:line="500" w:lineRule="exact" w:before="0" w:after="0"/>
        <w:ind w:firstLineChars="200"/>
        <w:jc w:val="left"/>
      </w:pPr>
      <w:r>
        <w:rPr>
          <w:rFonts w:ascii="Times New Roman" w:hAnsi="Times New Roman" w:eastAsia="宋体"/>
          <w:sz w:val="24"/>
        </w:rPr>
        <w:t>《突发环境事件应急管理办法》（环境保护部令第34号）</w:t>
      </w:r>
    </w:p>
    <w:p>
      <w:pPr>
        <w:spacing w:line="500" w:lineRule="exact" w:before="0" w:after="0"/>
        <w:ind w:firstLineChars="200"/>
        <w:jc w:val="left"/>
      </w:pPr>
      <w:r>
        <w:rPr>
          <w:rFonts w:ascii="Times New Roman" w:hAnsi="Times New Roman" w:eastAsia="宋体"/>
          <w:sz w:val="24"/>
        </w:rPr>
        <w:t>《突发环境事件信息报告办法》（环境保护部令第17号）</w:t>
      </w:r>
    </w:p>
    <w:p>
      <w:pPr>
        <w:spacing w:line="500" w:lineRule="exact" w:before="0" w:after="0"/>
        <w:ind w:firstLineChars="200"/>
        <w:jc w:val="left"/>
      </w:pPr>
      <w:r>
        <w:rPr>
          <w:rFonts w:ascii="Times New Roman" w:hAnsi="Times New Roman" w:eastAsia="宋体"/>
          <w:sz w:val="24"/>
        </w:rPr>
        <w:t>《企业事业单位突发环境事件应急预案备案管理办法（试行）》（环发〔2015〕4号）</w:t>
      </w:r>
    </w:p>
    <w:p>
      <w:pPr>
        <w:spacing w:line="500" w:lineRule="exact" w:before="0" w:after="0"/>
        <w:ind w:firstLineChars="200"/>
        <w:jc w:val="left"/>
      </w:pPr>
      <w:r>
        <w:rPr>
          <w:rFonts w:ascii="Times New Roman" w:hAnsi="Times New Roman" w:eastAsia="宋体"/>
          <w:sz w:val="24"/>
        </w:rPr>
        <w:t>《企业突发环境事件风险评估指南（试行）》（环办〔2014〕34号）</w:t>
      </w:r>
    </w:p>
    <w:p>
      <w:pPr>
        <w:spacing w:line="500" w:lineRule="exact" w:before="0" w:after="0"/>
        <w:ind w:firstLineChars="200"/>
        <w:jc w:val="left"/>
      </w:pPr>
      <w:r>
        <w:rPr>
          <w:rFonts w:ascii="Times New Roman" w:hAnsi="Times New Roman" w:eastAsia="宋体"/>
          <w:sz w:val="24"/>
        </w:rPr>
        <w:t>《企业事业单位突发环境事件应急预案评审工作指南（试行）》（环办应急〔2018〕8号）</w:t>
      </w:r>
    </w:p>
    <w:p>
      <w:pPr>
        <w:spacing w:line="500" w:lineRule="exact" w:before="0" w:after="0"/>
        <w:ind w:firstLineChars="200"/>
        <w:jc w:val="left"/>
      </w:pPr>
      <w:r>
        <w:rPr>
          <w:rFonts w:ascii="Times New Roman" w:hAnsi="Times New Roman" w:eastAsia="宋体"/>
          <w:sz w:val="24"/>
        </w:rPr>
        <w:t>《环境应急资源调查指南（试行）》（环办应急〔2019〕17号）</w:t>
      </w:r>
    </w:p>
    <w:p>
      <w:pPr>
        <w:spacing w:line="500" w:lineRule="exact" w:before="0" w:after="0"/>
        <w:ind w:firstLineChars="200"/>
        <w:jc w:val="left"/>
      </w:pPr>
      <w:r>
        <w:rPr>
          <w:rFonts w:ascii="Times New Roman" w:hAnsi="Times New Roman" w:eastAsia="宋体"/>
          <w:sz w:val="24"/>
        </w:rPr>
        <w:t>《国家危险废物名录》（2021年版）</w:t>
      </w:r>
    </w:p>
    <w:p>
      <w:pPr>
        <w:spacing w:line="500" w:lineRule="exact" w:before="0" w:after="0"/>
        <w:ind w:firstLineChars="200"/>
        <w:jc w:val="left"/>
      </w:pPr>
      <w:r>
        <w:rPr>
          <w:rFonts w:ascii="Times New Roman" w:hAnsi="Times New Roman" w:eastAsia="宋体"/>
          <w:sz w:val="24"/>
        </w:rPr>
        <w:t>（2）标准规范</w:t>
      </w:r>
    </w:p>
    <w:p>
      <w:pPr>
        <w:spacing w:line="500" w:lineRule="exact" w:before="0" w:after="0"/>
        <w:ind w:firstLineChars="200"/>
        <w:jc w:val="left"/>
      </w:pPr>
      <w:r>
        <w:rPr>
          <w:rFonts w:ascii="Times New Roman" w:hAnsi="Times New Roman" w:eastAsia="宋体"/>
          <w:sz w:val="24"/>
        </w:rPr>
        <w:t>《企业突发环境事件风险分级方法》（HJ 941-2018）</w:t>
      </w:r>
    </w:p>
    <w:p>
      <w:pPr>
        <w:spacing w:line="500" w:lineRule="exact" w:before="0" w:after="0"/>
        <w:ind w:firstLineChars="200"/>
        <w:jc w:val="left"/>
      </w:pPr>
      <w:r>
        <w:rPr>
          <w:rFonts w:ascii="Times New Roman" w:hAnsi="Times New Roman" w:eastAsia="宋体"/>
          <w:sz w:val="24"/>
        </w:rPr>
        <w:t>《建设项目环境风险评价技术导则》（HJ 169-2018）</w:t>
      </w:r>
    </w:p>
    <w:p>
      <w:pPr>
        <w:spacing w:line="500" w:lineRule="exact" w:before="0" w:after="0"/>
        <w:ind w:firstLineChars="200"/>
        <w:jc w:val="left"/>
      </w:pPr>
      <w:r>
        <w:rPr>
          <w:rFonts w:ascii="Times New Roman" w:hAnsi="Times New Roman" w:eastAsia="宋体"/>
          <w:sz w:val="24"/>
        </w:rPr>
        <w:t>《突发环境事件应急监测技术规范》（HJ 589-2021）</w:t>
      </w:r>
    </w:p>
    <w:p>
      <w:pPr>
        <w:spacing w:line="500" w:lineRule="exact" w:before="0" w:after="0"/>
        <w:ind w:firstLineChars="200"/>
        <w:jc w:val="left"/>
      </w:pPr>
      <w:r>
        <w:rPr>
          <w:rFonts w:ascii="Times New Roman" w:hAnsi="Times New Roman" w:eastAsia="宋体"/>
          <w:sz w:val="24"/>
        </w:rPr>
        <w:t>《环境空气质量标准》（GB 3095-2012）</w:t>
      </w:r>
    </w:p>
    <w:p>
      <w:pPr>
        <w:spacing w:line="500" w:lineRule="exact" w:before="0" w:after="0"/>
        <w:ind w:firstLineChars="200"/>
        <w:jc w:val="left"/>
      </w:pPr>
      <w:r>
        <w:rPr>
          <w:rFonts w:ascii="Times New Roman" w:hAnsi="Times New Roman" w:eastAsia="宋体"/>
          <w:sz w:val="24"/>
        </w:rPr>
        <w:t>《地表水环境质量标准》（GB 3838-2002）</w:t>
      </w:r>
    </w:p>
    <w:p>
      <w:pPr>
        <w:spacing w:line="500" w:lineRule="exact" w:before="0" w:after="0"/>
        <w:ind w:firstLineChars="200"/>
        <w:jc w:val="left"/>
      </w:pPr>
      <w:r>
        <w:rPr>
          <w:rFonts w:ascii="Times New Roman" w:hAnsi="Times New Roman" w:eastAsia="宋体"/>
          <w:sz w:val="24"/>
        </w:rPr>
        <w:t>《地下水质量标准》（GB/T 14848-2017）</w:t>
      </w:r>
    </w:p>
    <w:p>
      <w:pPr>
        <w:spacing w:line="500" w:lineRule="exact" w:before="0" w:after="0"/>
        <w:ind w:firstLineChars="200"/>
        <w:jc w:val="left"/>
      </w:pPr>
      <w:r>
        <w:rPr>
          <w:rFonts w:ascii="Times New Roman" w:hAnsi="Times New Roman" w:eastAsia="宋体"/>
          <w:sz w:val="24"/>
        </w:rPr>
        <w:t>《大气污染物综合排放标准》（GB 16297-1996）</w:t>
      </w:r>
    </w:p>
    <w:p>
      <w:pPr>
        <w:spacing w:line="500" w:lineRule="exact" w:before="0" w:after="0"/>
        <w:ind w:firstLineChars="200"/>
        <w:jc w:val="left"/>
      </w:pPr>
      <w:r>
        <w:rPr>
          <w:rFonts w:ascii="Times New Roman" w:hAnsi="Times New Roman" w:eastAsia="宋体"/>
          <w:sz w:val="24"/>
        </w:rPr>
        <w:t>《危险废物贮存污染控制标准》（GB 18597-2023）</w:t>
      </w:r>
    </w:p>
    <w:p>
      <w:pPr>
        <w:spacing w:line="500" w:lineRule="exact" w:before="0" w:after="0"/>
        <w:ind w:firstLineChars="200"/>
        <w:jc w:val="left"/>
      </w:pPr>
      <w:r>
        <w:rPr>
          <w:rFonts w:ascii="Times New Roman" w:hAnsi="Times New Roman" w:eastAsia="宋体"/>
          <w:sz w:val="24"/>
        </w:rPr>
        <w:t>《一般工业固体废物贮存和填埋污染控制标准》（GB 18599-2020）</w:t>
      </w:r>
    </w:p>
    <w:p>
      <w:pPr>
        <w:spacing w:line="500" w:lineRule="exact" w:before="0" w:after="0"/>
        <w:ind w:firstLineChars="200"/>
        <w:jc w:val="left"/>
      </w:pPr>
      <w:r>
        <w:rPr>
          <w:rFonts w:ascii="Times New Roman" w:hAnsi="Times New Roman" w:eastAsia="宋体"/>
          <w:sz w:val="24"/>
        </w:rPr>
        <w:t>《危险化学品重大危险源辨识》（GB 18218-2018）</w:t>
      </w:r>
    </w:p>
    <w:p>
      <w:pPr>
        <w:spacing w:line="500" w:lineRule="exact" w:before="0" w:after="0"/>
        <w:ind w:firstLineChars="200"/>
        <w:jc w:val="left"/>
      </w:pPr>
      <w:r>
        <w:rPr>
          <w:rFonts w:ascii="Times New Roman" w:hAnsi="Times New Roman" w:eastAsia="宋体"/>
          <w:sz w:val="24"/>
        </w:rPr>
        <w:t>（3）其他依据</w:t>
      </w:r>
    </w:p>
    <w:p>
      <w:pPr>
        <w:spacing w:line="500" w:lineRule="exact" w:before="0" w:after="0"/>
        <w:ind w:firstLineChars="200"/>
        <w:jc w:val="left"/>
      </w:pPr>
      <w:r>
        <w:rPr>
          <w:rFonts w:ascii="Times New Roman" w:hAnsi="Times New Roman" w:eastAsia="宋体"/>
          <w:sz w:val="24"/>
        </w:rPr>
        <w:t>企业环境影响评价文件及其批复、排污许可证、危险废物处置合同、环境应急资源调查报告等。</w:t>
      </w:r>
    </w:p>
    <w:p>
      <w:pPr>
        <w:pStyle w:val="Heading2"/>
        <w:spacing w:line="500" w:lineRule="exact" w:before="0" w:after="0"/>
        <w:jc w:val="left"/>
        <w:outlineLvl w:val="1"/>
      </w:pPr>
      <w:bookmarkStart w:id="90004" w:name="_Toc90004"/>
      <w:r>
        <w:rPr>
          <w:rFonts w:ascii="Times New Roman" w:hAnsi="Times New Roman" w:eastAsia="宋体"/>
          <w:sz w:val="28"/>
          <w:b/>
        </w:rPr>
        <w:t>1.3 适用范围</w:t>
      </w:r>
      <w:bookmarkEnd w:id="90004"/>
    </w:p>
    <w:p>
      <w:pPr>
        <w:spacing w:line="500" w:lineRule="exact" w:before="0" w:after="0"/>
        <w:ind w:firstLineChars="200"/>
        <w:jc w:val="left"/>
      </w:pPr>
      <w:r>
        <w:rPr>
          <w:rFonts w:ascii="Times New Roman" w:hAnsi="Times New Roman" w:eastAsia="宋体"/>
          <w:sz w:val="24"/>
        </w:rPr>
        <w:t>本预案适用于泰安示例新材料科技有限公司厂区内发生的，以及厂区外由本单位生产、经营、储存、运输活动引发的突发环境事件的预防、预警、应急处置和事后恢复。</w:t>
      </w:r>
    </w:p>
    <w:p>
      <w:pPr>
        <w:spacing w:line="500" w:lineRule="exact" w:before="0" w:after="0"/>
        <w:ind w:firstLineChars="200"/>
        <w:jc w:val="left"/>
      </w:pPr>
      <w:r>
        <w:rPr>
          <w:rFonts w:ascii="Times New Roman" w:hAnsi="Times New Roman" w:eastAsia="宋体"/>
          <w:sz w:val="24"/>
        </w:rPr>
        <w:t>具体包括：</w:t>
      </w:r>
    </w:p>
    <w:p>
      <w:pPr>
        <w:spacing w:line="500" w:lineRule="exact" w:before="0" w:after="0"/>
        <w:ind w:firstLineChars="200"/>
        <w:jc w:val="left"/>
      </w:pPr>
      <w:r>
        <w:rPr>
          <w:rFonts w:ascii="Times New Roman" w:hAnsi="Times New Roman" w:eastAsia="宋体"/>
          <w:sz w:val="24"/>
        </w:rPr>
        <w:t>（1）危险化学品、油类及其他环境风险物质泄漏进入大气、水体、土壤的事件；</w:t>
      </w:r>
    </w:p>
    <w:p>
      <w:pPr>
        <w:spacing w:line="500" w:lineRule="exact" w:before="0" w:after="0"/>
        <w:ind w:firstLineChars="200"/>
        <w:jc w:val="left"/>
      </w:pPr>
      <w:r>
        <w:rPr>
          <w:rFonts w:ascii="Times New Roman" w:hAnsi="Times New Roman" w:eastAsia="宋体"/>
          <w:sz w:val="24"/>
        </w:rPr>
        <w:t>（2）火灾、爆炸事故次生的环境污染事件（含消防废水、废气、废渣污染）；</w:t>
      </w:r>
    </w:p>
    <w:p>
      <w:pPr>
        <w:spacing w:line="500" w:lineRule="exact" w:before="0" w:after="0"/>
        <w:ind w:firstLineChars="200"/>
        <w:jc w:val="left"/>
      </w:pPr>
      <w:r>
        <w:rPr>
          <w:rFonts w:ascii="Times New Roman" w:hAnsi="Times New Roman" w:eastAsia="宋体"/>
          <w:sz w:val="24"/>
        </w:rPr>
        <w:t>（3）废水、废气处理设施故障导致的污染物非正常排放事件；</w:t>
      </w:r>
    </w:p>
    <w:p>
      <w:pPr>
        <w:spacing w:line="500" w:lineRule="exact" w:before="0" w:after="0"/>
        <w:ind w:firstLineChars="200"/>
        <w:jc w:val="left"/>
      </w:pPr>
      <w:r>
        <w:rPr>
          <w:rFonts w:ascii="Times New Roman" w:hAnsi="Times New Roman" w:eastAsia="宋体"/>
          <w:sz w:val="24"/>
        </w:rPr>
        <w:t>（4）固体废物、危险废物在厂内暂存、转移过程中发生的泄漏、扬散、流失事件；</w:t>
      </w:r>
    </w:p>
    <w:p>
      <w:pPr>
        <w:spacing w:line="500" w:lineRule="exact" w:before="0" w:after="0"/>
        <w:ind w:firstLineChars="200"/>
        <w:jc w:val="left"/>
      </w:pPr>
      <w:r>
        <w:rPr>
          <w:rFonts w:ascii="Times New Roman" w:hAnsi="Times New Roman" w:eastAsia="宋体"/>
          <w:sz w:val="24"/>
        </w:rPr>
        <w:t>（5）其他可能造成环境污染、生态破坏的突发环境事件。</w:t>
      </w:r>
    </w:p>
    <w:p>
      <w:pPr>
        <w:pStyle w:val="Heading2"/>
        <w:spacing w:line="500" w:lineRule="exact" w:before="0" w:after="0"/>
        <w:jc w:val="left"/>
        <w:outlineLvl w:val="1"/>
      </w:pPr>
      <w:bookmarkStart w:id="90005" w:name="_Toc90005"/>
      <w:r>
        <w:rPr>
          <w:rFonts w:ascii="Times New Roman" w:hAnsi="Times New Roman" w:eastAsia="宋体"/>
          <w:sz w:val="28"/>
          <w:b/>
        </w:rPr>
        <w:t>1.4 应急预案体系</w:t>
      </w:r>
      <w:bookmarkEnd w:id="90005"/>
    </w:p>
    <w:p>
      <w:pPr>
        <w:spacing w:line="500" w:lineRule="exact" w:before="0" w:after="0"/>
        <w:ind w:firstLineChars="200"/>
        <w:jc w:val="left"/>
      </w:pPr>
      <w:r>
        <w:rPr>
          <w:rFonts w:ascii="Times New Roman" w:hAnsi="Times New Roman" w:eastAsia="宋体"/>
          <w:sz w:val="24"/>
        </w:rPr>
        <w:t>本单位突发环境事件应急预案体系由突发环境事件应急预案、环境风险评估报告、环境应急资源调查报告以及专项应急预案、现场处置预案构成。</w:t>
      </w:r>
    </w:p>
    <w:p>
      <w:pPr>
        <w:spacing w:line="500" w:lineRule="exact" w:before="0" w:after="0"/>
        <w:ind w:firstLineChars="200"/>
        <w:jc w:val="left"/>
      </w:pPr>
      <w:r>
        <w:rPr>
          <w:rFonts w:ascii="Times New Roman" w:hAnsi="Times New Roman" w:eastAsia="宋体"/>
          <w:sz w:val="24"/>
        </w:rPr>
        <w:t>本预案为综合预案，是本单位应对突发环境事件的纲领性文件；针对特定污染因子或特定风险单元，另行编制专项应急预案与现场处置预案，作为本预案的组成部分。</w:t>
      </w:r>
    </w:p>
    <w:p>
      <w:pPr>
        <w:spacing w:line="500" w:lineRule="exact" w:before="0" w:after="0"/>
        <w:ind w:firstLineChars="200"/>
        <w:jc w:val="left"/>
      </w:pPr>
      <w:r>
        <w:rPr>
          <w:rFonts w:ascii="Times New Roman" w:hAnsi="Times New Roman" w:eastAsia="宋体"/>
          <w:sz w:val="24"/>
        </w:rPr>
        <w:t>当突发环境事件超出本单位处置能力时，本预案与属地生态环境主管部门及地方人民政府相关应急预案相衔接。</w:t>
      </w:r>
    </w:p>
    <w:p>
      <w:pPr>
        <w:spacing w:line="500" w:lineRule="exact" w:before="0" w:after="0"/>
        <w:ind w:firstLineChars="200"/>
        <w:jc w:val="left"/>
      </w:pPr>
      <w:r>
        <w:rPr>
          <w:rFonts w:ascii="Times New Roman" w:hAnsi="Times New Roman" w:eastAsia="宋体"/>
          <w:sz w:val="24"/>
        </w:rPr>
        <w:t>本单位突发环境事件应急预案体系见下图。</w:t>
      </w:r>
    </w:p>
    <w:p>
      <w:pPr>
        <w:keepNext w:val="true"/>
        <w:jc w:val="center"/>
        <w:spacing w:before="60" w:after="60" w:lineRule="auto"/>
      </w:pPr>
      <w:r>
        <w:pict>
          <v:group id="envh_canvas" o:spid="_x0000_s4099" o:spt="203" style="height:303.17pt;width:440.00pt;" coordsize="5833110,4019100" editas="canvas">
            <o:lock v:ext="edit"/>
            <v:rect id="envh_bg" o:spid="_x0000_s4101" o:spt="1" style="position:absolute;left:0;top:0;height:4019100;width:5833110;" filled="f" stroked="f" coordsize="21600,21600">
              <v:path/>
              <v:fill on="f" focussize="0,0"/>
              <v:stroke on="f"/>
              <v:imagedata o:title=""/>
              <o:lock v:ext="edit" aspectratio="f"/>
            </v:rect>
            <v:rect id="envh_gov" o:spid="_x0000_s4102" o:spt="1" style="position:absolute;left:2325000;top:28575;height:560000;width:235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属地政府突发环境事件应急预案</w:t>
                    </w:r>
                  </w:p>
                </w:txbxContent>
              </v:textbox>
            </v:rect>
            <v:rect id="envh_lbl" o:spid="_x0000_s4103" o:spt="1" style="position:absolute;left:2600000;top:690000;height:400000;width:3050000;v-text-anchor:middle;" filled="f" stroked="f" coordsize="21600,21600">
              <v:path/>
              <v:fill on="f" focussize="0,0"/>
              <v:stroke on="f"/>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重大，超出公司应急处理范围</w:t>
                    </w:r>
                  </w:p>
                </w:txbxContent>
              </v:textbox>
            </v:rect>
            <v:rect id="envh_plan" o:spid="_x0000_s4104" o:spt="1" style="position:absolute;left:1550000;top:1050000;height:800000;width:290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泰安示例新材料科技有限公司</w:t>
                    </w:r>
                  </w:p>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突发环境事件应急预案</w:t>
                    </w:r>
                  </w:p>
                </w:txbxContent>
              </v:textbox>
            </v:rect>
            <v:rect id="envh_safe" o:spid="_x0000_s4105" o:spt="1" style="position:absolute;left:155000;top:1250000;height:400000;width:125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生产安全事故应急预案</w:t>
                    </w:r>
                  </w:p>
                </w:txbxContent>
              </v:textbox>
            </v:rect>
            <v:shape id="envh_safe_l" o:spid="_x0000_s4106" o:spt="32" type="#_x0000_t32" style="position:absolute;left:1405000;top:1450000;height:0;width:145000;" filled="f" stroked="t" coordsize="21600,21600">
              <v:path arrowok="t"/>
              <v:fill on="f" focussize="0,0"/>
              <v:stroke color="000000" joinstyle="round" startarrow="open" endarrow="open"/>
              <v:imagedata o:title=""/>
              <o:lock v:ext="edit" aspectratio="f"/>
            </v:shape>
            <v:shape id="envh_gov_l" o:spid="_x0000_s4107" o:spt="32" type="#_x0000_t32" style="position:absolute;left:3500000;top:588575;height:461425;width:0;" filled="f" stroked="t" coordsize="21600,21600">
              <v:path arrowok="t"/>
              <v:fill on="f" focussize="0,0"/>
              <v:stroke color="000000" joinstyle="round"/>
              <v:imagedata o:title=""/>
              <o:lock v:ext="edit" aspectratio="f"/>
            </v:shape>
            <v:shape id="envh_plan_v" o:spid="_x0000_s4108" o:spt="32" type="#_x0000_t32" style="position:absolute;left:3000000;top:1850000;height:630000;width:0;" filled="f" stroked="t" coordsize="21600,21600">
              <v:path arrowok="t"/>
              <v:fill on="f" focussize="0,0"/>
              <v:stroke color="000000" joinstyle="round"/>
              <v:imagedata o:title=""/>
              <o:lock v:ext="edit" aspectratio="f"/>
            </v:shape>
            <v:shape id="envh_bar" o:spid="_x0000_s4109" o:spt="32" type="#_x0000_t32" style="position:absolute;left:720000;top:2480000;height:0;width:4560000;" filled="f" stroked="t" coordsize="21600,21600">
              <v:path arrowok="t"/>
              <v:fill on="f" focussize="0,0"/>
              <v:stroke color="000000" joinstyle="round"/>
              <v:imagedata o:title=""/>
              <o:lock v:ext="edit" aspectratio="f"/>
            </v:shape>
            <v:shape id="envh_a0" o:spid="_x0000_s4110" o:spt="32" type="#_x0000_t32" style="position:absolute;left:720000;top:2480000;height:120000;width:0;" filled="f" stroked="t" coordsize="21600,21600">
              <v:path arrowok="t"/>
              <v:fill on="f" focussize="0,0"/>
              <v:stroke color="000000" joinstyle="round" endarrow="open"/>
              <v:imagedata o:title=""/>
              <o:lock v:ext="edit" aspectratio="f"/>
            </v:shape>
            <v:rect id="envh_s0" o:spid="_x0000_s4111" o:spt="1" style="position:absolute;left:52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突发环境事件综合应急预案</w:t>
                    </w:r>
                  </w:p>
                </w:txbxContent>
              </v:textbox>
            </v:rect>
            <v:shape id="envh_a1" o:spid="_x0000_s4112" o:spt="32" type="#_x0000_t32" style="position:absolute;left:1480000;top:2480000;height:120000;width:0;" filled="f" stroked="t" coordsize="21600,21600">
              <v:path arrowok="t"/>
              <v:fill on="f" focussize="0,0"/>
              <v:stroke color="000000" joinstyle="round" endarrow="open"/>
              <v:imagedata o:title=""/>
              <o:lock v:ext="edit" aspectratio="f"/>
            </v:shape>
            <v:rect id="envh_s1" o:spid="_x0000_s4113" o:spt="1" style="position:absolute;left:128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危险废物专项应急预案</w:t>
                    </w:r>
                  </w:p>
                </w:txbxContent>
              </v:textbox>
            </v:rect>
            <v:shape id="envh_a2" o:spid="_x0000_s4114" o:spt="32" type="#_x0000_t32" style="position:absolute;left:2240000;top:2480000;height:120000;width:0;" filled="f" stroked="t" coordsize="21600,21600">
              <v:path arrowok="t"/>
              <v:fill on="f" focussize="0,0"/>
              <v:stroke color="000000" joinstyle="round" endarrow="open"/>
              <v:imagedata o:title=""/>
              <o:lock v:ext="edit" aspectratio="f"/>
            </v:shape>
            <v:rect id="envh_s2" o:spid="_x0000_s4115" o:spt="1" style="position:absolute;left:204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火灾爆炸现场处置预案</w:t>
                    </w:r>
                  </w:p>
                </w:txbxContent>
              </v:textbox>
            </v:rect>
            <v:shape id="envh_a3" o:spid="_x0000_s4116" o:spt="32" type="#_x0000_t32" style="position:absolute;left:3000000;top:2480000;height:120000;width:0;" filled="f" stroked="t" coordsize="21600,21600">
              <v:path arrowok="t"/>
              <v:fill on="f" focussize="0,0"/>
              <v:stroke color="000000" joinstyle="round" endarrow="open"/>
              <v:imagedata o:title=""/>
              <o:lock v:ext="edit" aspectratio="f"/>
            </v:shape>
            <v:rect id="envh_s3" o:spid="_x0000_s4117" o:spt="1" style="position:absolute;left:280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盐酸泄漏现场处置预案</w:t>
                    </w:r>
                  </w:p>
                </w:txbxContent>
              </v:textbox>
            </v:rect>
            <v:shape id="envh_a4" o:spid="_x0000_s4118" o:spt="32" type="#_x0000_t32" style="position:absolute;left:3760000;top:2480000;height:120000;width:0;" filled="f" stroked="t" coordsize="21600,21600">
              <v:path arrowok="t"/>
              <v:fill on="f" focussize="0,0"/>
              <v:stroke color="000000" joinstyle="round" endarrow="open"/>
              <v:imagedata o:title=""/>
              <o:lock v:ext="edit" aspectratio="f"/>
            </v:shape>
            <v:rect id="envh_s4" o:spid="_x0000_s4119" o:spt="1" style="position:absolute;left:356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硫酸泄漏现场处置预案</w:t>
                    </w:r>
                  </w:p>
                </w:txbxContent>
              </v:textbox>
            </v:rect>
            <v:shape id="envh_a5" o:spid="_x0000_s4120" o:spt="32" type="#_x0000_t32" style="position:absolute;left:4520000;top:2480000;height:120000;width:0;" filled="f" stroked="t" coordsize="21600,21600">
              <v:path arrowok="t"/>
              <v:fill on="f" focussize="0,0"/>
              <v:stroke color="000000" joinstyle="round" endarrow="open"/>
              <v:imagedata o:title=""/>
              <o:lock v:ext="edit" aspectratio="f"/>
            </v:shape>
            <v:rect id="envh_s5" o:spid="_x0000_s4121" o:spt="1" style="position:absolute;left:432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甲醇泄漏现场处置预案</w:t>
                    </w:r>
                  </w:p>
                </w:txbxContent>
              </v:textbox>
            </v:rect>
            <v:shape id="envh_a6" o:spid="_x0000_s4122" o:spt="32" type="#_x0000_t32" style="position:absolute;left:5280000;top:2480000;height:120000;width:0;" filled="f" stroked="t" coordsize="21600,21600">
              <v:path arrowok="t"/>
              <v:fill on="f" focussize="0,0"/>
              <v:stroke color="000000" joinstyle="round" endarrow="open"/>
              <v:imagedata o:title=""/>
              <o:lock v:ext="edit" aspectratio="f"/>
            </v:shape>
            <v:rect id="envh_s6" o:spid="_x0000_s4123" o:spt="1" style="position:absolute;left:5085000;top:2600000;height:1269100;width:390000;v-text-anchor:middle;" filled="f" stroked="t" coordsize="21600,21600">
              <v:path/>
              <v:fill on="f" focussize="0,0"/>
              <v:stroke color="000000" joinstyle="round"/>
              <v:imagedata o:title=""/>
              <o:lock v:ext="edit" aspectratio="f"/>
              <v:textbox inset="0mm,1.27mm,0mm,1.27mm">
                <w:txbxContent>
                  <w:p>
                    <w:pPr>
                      <w:spacing w:line="280" w:lineRule="exact"/>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二甲苯泄漏现场处置预案</w:t>
                    </w:r>
                  </w:p>
                </w:txbxContent>
              </v:textbox>
            </v:rect>
          </v:group>
        </w:pict>
      </w:r>
    </w:p>
    <w:p>
      <w:pPr>
        <w:spacing w:line="500" w:lineRule="exact" w:before="0" w:after="0"/>
        <w:jc w:val="center"/>
      </w:pPr>
      <w:r>
        <w:rPr>
          <w:rFonts w:ascii="Times New Roman" w:hAnsi="Times New Roman" w:eastAsia="宋体"/>
          <w:sz w:val="24"/>
          <w:b/>
        </w:rPr>
        <w:t>图1-1  企业突发环境事件应急预案体系</w:t>
      </w:r>
    </w:p>
    <w:p>
      <w:pPr>
        <w:spacing w:line="500" w:lineRule="exact" w:before="0" w:after="0"/>
        <w:jc w:val="left"/>
      </w:pPr>
    </w:p>
    <w:p>
      <w:pPr>
        <w:pStyle w:val="Heading2"/>
        <w:spacing w:line="500" w:lineRule="exact" w:before="0" w:after="0"/>
        <w:jc w:val="left"/>
        <w:outlineLvl w:val="1"/>
      </w:pPr>
      <w:bookmarkStart w:id="90006" w:name="_Toc90006"/>
      <w:r>
        <w:rPr>
          <w:rFonts w:ascii="Times New Roman" w:hAnsi="Times New Roman" w:eastAsia="宋体"/>
          <w:sz w:val="28"/>
          <w:b/>
        </w:rPr>
        <w:t>1.5 工作原则</w:t>
      </w:r>
      <w:bookmarkEnd w:id="90006"/>
    </w:p>
    <w:p>
      <w:pPr>
        <w:spacing w:line="500" w:lineRule="exact" w:before="0" w:after="0"/>
        <w:ind w:firstLineChars="200"/>
        <w:jc w:val="left"/>
      </w:pPr>
      <w:r>
        <w:rPr>
          <w:rFonts w:ascii="Times New Roman" w:hAnsi="Times New Roman" w:eastAsia="宋体"/>
          <w:sz w:val="24"/>
        </w:rPr>
        <w:t>（1）以人为本，预防为主。把保障公众健康和生命安全作为首要任务，加强环境风险源监控与隐患排查，最大限度减少突发环境事件造成的人员伤亡和环境危害。</w:t>
      </w:r>
    </w:p>
    <w:p>
      <w:pPr>
        <w:spacing w:line="500" w:lineRule="exact" w:before="0" w:after="0"/>
        <w:ind w:firstLineChars="200"/>
        <w:jc w:val="left"/>
      </w:pPr>
      <w:r>
        <w:rPr>
          <w:rFonts w:ascii="Times New Roman" w:hAnsi="Times New Roman" w:eastAsia="宋体"/>
          <w:sz w:val="24"/>
        </w:rPr>
        <w:t>（2）统一领导，分级负责。在本单位应急指挥部的统一领导下，各部门按职责分工开展应急处置工作。</w:t>
      </w:r>
    </w:p>
    <w:p>
      <w:pPr>
        <w:spacing w:line="500" w:lineRule="exact" w:before="0" w:after="0"/>
        <w:ind w:firstLineChars="200"/>
        <w:jc w:val="left"/>
      </w:pPr>
      <w:r>
        <w:rPr>
          <w:rFonts w:ascii="Times New Roman" w:hAnsi="Times New Roman" w:eastAsia="宋体"/>
          <w:sz w:val="24"/>
        </w:rPr>
        <w:t>（3）属地为主，协同应对。突发环境事件发生后，第一时间开展先期处置，同时报告属地生态环境主管部门，请求支援，形成联动。</w:t>
      </w:r>
    </w:p>
    <w:p>
      <w:pPr>
        <w:spacing w:line="500" w:lineRule="exact" w:before="0" w:after="0"/>
        <w:ind w:firstLineChars="200"/>
        <w:jc w:val="left"/>
      </w:pPr>
      <w:r>
        <w:rPr>
          <w:rFonts w:ascii="Times New Roman" w:hAnsi="Times New Roman" w:eastAsia="宋体"/>
          <w:sz w:val="24"/>
        </w:rPr>
        <w:t>（4）快速反应，科学处置。建立快速反应机制，依靠科学技术和专业人员，科学决策、快速处置，防止事态扩大和污染扩散。</w:t>
      </w:r>
    </w:p>
    <w:p>
      <w:pPr>
        <w:spacing w:line="500" w:lineRule="exact" w:before="0" w:after="0"/>
        <w:ind w:firstLineChars="200"/>
        <w:jc w:val="left"/>
      </w:pPr>
      <w:r>
        <w:rPr>
          <w:rFonts w:ascii="Times New Roman" w:hAnsi="Times New Roman" w:eastAsia="宋体"/>
          <w:sz w:val="24"/>
        </w:rPr>
        <w:t>（5）依法规范，加强管理。依据法律法规和标准规范开展应急工作，加强预案管理、培训与演练。</w:t>
      </w:r>
    </w:p>
    <w:p>
      <w:pPr>
        <w:pStyle w:val="Heading1"/>
        <w:spacing w:line="500" w:lineRule="exact" w:before="0" w:after="0"/>
        <w:jc w:val="left"/>
        <w:outlineLvl w:val="0"/>
      </w:pPr>
      <w:bookmarkStart w:id="90007" w:name="_Toc90007"/>
      <w:r>
        <w:rPr>
          <w:rFonts w:ascii="Times New Roman" w:hAnsi="Times New Roman" w:eastAsia="宋体"/>
          <w:sz w:val="30"/>
          <w:b/>
        </w:rPr>
        <w:t>2 基本情况</w:t>
      </w:r>
      <w:bookmarkEnd w:id="90007"/>
    </w:p>
    <w:p>
      <w:pPr>
        <w:pStyle w:val="Heading2"/>
        <w:spacing w:line="500" w:lineRule="exact" w:before="0" w:after="0"/>
        <w:jc w:val="left"/>
        <w:outlineLvl w:val="1"/>
      </w:pPr>
      <w:bookmarkStart w:id="90008" w:name="_Toc90008"/>
      <w:r>
        <w:rPr>
          <w:rFonts w:ascii="Times New Roman" w:hAnsi="Times New Roman" w:eastAsia="宋体"/>
          <w:sz w:val="28"/>
          <w:b/>
        </w:rPr>
        <w:t>2.1 公司基本情况介绍</w:t>
      </w:r>
      <w:bookmarkEnd w:id="90008"/>
    </w:p>
    <w:p>
      <w:pPr>
        <w:spacing w:line="500" w:lineRule="exact" w:before="0" w:after="0"/>
        <w:ind w:firstLineChars="200"/>
        <w:jc w:val="left"/>
      </w:pPr>
      <w:r>
        <w:rPr>
          <w:rFonts w:ascii="Times New Roman" w:hAnsi="Times New Roman" w:eastAsia="宋体"/>
          <w:sz w:val="24"/>
        </w:rPr>
        <w:t>泰安示例新材料科技有限公司位于山东省泰安市岱岳区某工业园区兴业路18号，统一社会信用代码为91370911MA3XXXXXXX，法定代表人李某某，联系电话0538-866XXXX。公司成立于2014年5月，所属行业为化学原料和化学制品制造业（C26），企业规模为小型，厂区占地面积15000平方米，现有从业人员68人。公司地理坐标为东经117.04、北纬36.02，厂区周边交通条件依托工业园区路网。公司主要从事化学原料及化学制品生产，生产工艺涉及原料验收、储罐区收料与计量、配比投料、反应釜合成、蒸馏精馏、冷却结晶、离心过滤、干燥及包装入库等工序，生产过程中涉及盐酸、硫酸、甲醇、二甲苯、乙酸乙酯、氨水、次氯酸钠等原辅材料的使用与储存。公司设有安全生产与环境保护管理机构，配备专（兼）职环保管理人员，负责日常环境管理、污染治理设施运行维护及环境应急管理工作。公司经营范围以工商登记核准内容为准，涉及许可经营项目凭许可证件经营。企业环境风险等级经系统按HJ 941-2018计算为重大级，涉气Q值13.5200（Q2），涉水Q值13.9000（Q2）。</w:t>
      </w:r>
    </w:p>
    <w:p>
      <w:pPr>
        <w:keepNext w:val="true"/>
        <w:spacing w:line="500" w:lineRule="exact" w:before="0" w:after="0"/>
        <w:jc w:val="center"/>
      </w:pPr>
      <w:r>
        <w:rPr>
          <w:rFonts w:ascii="宋体" w:hAnsi="宋体" w:eastAsia="宋体"/>
          <w:sz w:val="24"/>
          <w:b/>
        </w:rPr>
        <w:t>表2-1 企业基本情况表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2520"/>
        <w:gridCol w:w="5702"/>
      </w:tblGrid>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企业名称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泰安示例新材料科技有限公司</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统一社会信用代码</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91370911MA3XXXXXXX</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法定代表人</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李某某</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单位所在地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山东省泰安市岱岳区某工业园区兴业路18号</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中心经度、纬度</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117.04,36.02</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所属行业类别</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化学原料和化学制品制造业（C26）</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建厂年月</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2014年5月</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企业规模</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小型</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厂区面积</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15000平方米</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从业人数</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68</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主要联系方式</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0538-866XXXX</w:t>
            </w:r>
          </w:p>
        </w:tc>
      </w:tr>
      <w:tr>
        <w:trPr>
          <w:cantSplit w:val="true"/>
          <w:trHeight w:val="320" w:hRule="atLeast"/>
        </w:trPr>
        <w:tc>
          <w:tcPr>
            <w:tcW w:w="252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备案编号</w:t>
            </w:r>
          </w:p>
        </w:tc>
        <w:tc>
          <w:tcPr>
            <w:tcW w:w="57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370911-2026-035-H</w:t>
            </w:r>
          </w:p>
        </w:tc>
      </w:tr>
    </w:tbl>
    <w:p>
      <w:pPr>
        <w:pStyle w:val="Heading2"/>
        <w:spacing w:line="500" w:lineRule="exact" w:before="0" w:after="0"/>
        <w:jc w:val="left"/>
        <w:outlineLvl w:val="1"/>
      </w:pPr>
      <w:bookmarkStart w:id="90009" w:name="_Toc90009"/>
      <w:r>
        <w:rPr>
          <w:rFonts w:ascii="Times New Roman" w:hAnsi="Times New Roman" w:eastAsia="宋体"/>
          <w:sz w:val="28"/>
          <w:b/>
        </w:rPr>
        <w:t>2.2 生产工艺情况简介</w:t>
      </w:r>
      <w:bookmarkEnd w:id="90009"/>
    </w:p>
    <w:p>
      <w:pPr>
        <w:spacing w:line="500" w:lineRule="exact" w:before="0" w:after="0"/>
        <w:ind w:firstLineChars="200"/>
        <w:jc w:val="left"/>
      </w:pPr>
      <w:r>
        <w:rPr>
          <w:rFonts w:ascii="Times New Roman" w:hAnsi="Times New Roman" w:eastAsia="宋体"/>
          <w:sz w:val="24"/>
        </w:rPr>
        <w:t>公司生产工艺流程为：原料验收→储罐区收料/计量→配比投料→反应釜合成→蒸馏精馏→冷却结晶→离心过滤→干燥→包装入库。各工序产污环节如下：（1）原料验收及储罐区收料/计量工序，盐酸、硫酸、甲醇等液体物料通过装卸鹤管及发料泵收发，产生呼吸损耗废气，主要污染物为氯化氢、硫酸雾、甲醇及非甲烷总烃等；（2）配比投料工序，桶装二甲苯、乙酸乙酯、氨水、次氯酸钠及袋装氢氧化钠等物料在投料过程中产生少量挥发废气及粉尘；（3）反应釜合成工序，反应过程产生工艺不凝气，经冷凝后送废气处理系统；（4）蒸馏精馏工序，蒸馏塔不凝气经冷凝后送废气处理，同时产生精馏残渣等危险废物；（5）冷却结晶、离心过滤工序，产生离心母液及设备清洗水；（6）干燥工序，产生含尘及有机废气；（7）包装入库工序，产生少量粉尘及废包装桶。此外，设备清洗与地面冲洗水、初期雨水经厂内预处理后排入园区污水处理厂；储罐区收发料与装卸作业产生呼吸损耗；导热油在系统内循环使用。</w:t>
      </w:r>
    </w:p>
    <w:p>
      <w:pPr>
        <w:pStyle w:val="Heading2"/>
        <w:spacing w:line="500" w:lineRule="exact" w:before="0" w:after="0"/>
        <w:jc w:val="left"/>
        <w:outlineLvl w:val="1"/>
      </w:pPr>
      <w:bookmarkStart w:id="90010" w:name="_Toc90010"/>
      <w:r>
        <w:rPr>
          <w:rFonts w:ascii="Times New Roman" w:hAnsi="Times New Roman" w:eastAsia="宋体"/>
          <w:sz w:val="28"/>
          <w:b/>
        </w:rPr>
        <w:t>2.3 主要原辅材料及产品</w:t>
      </w:r>
      <w:bookmarkEnd w:id="90010"/>
    </w:p>
    <w:p>
      <w:pPr>
        <w:spacing w:line="500" w:lineRule="exact" w:before="0" w:after="0"/>
        <w:ind w:firstLineChars="200"/>
        <w:jc w:val="left"/>
      </w:pPr>
      <w:r>
        <w:rPr>
          <w:rFonts w:ascii="Times New Roman" w:hAnsi="Times New Roman" w:eastAsia="宋体"/>
          <w:sz w:val="24"/>
        </w:rPr>
        <w:t>公司主要原辅材料包括盐酸（31%，储罐储存）、硫酸（98%，储罐储存）、甲醇（储罐储存）、二甲苯（桶装）、乙酸乙酯（桶装）、氨水（20%，桶装）、次氯酸钠（桶装）、导热油（系统内循环）及氢氧化钠（片碱，袋装）。主要产品为化学原料及化学制品，具体产品名称及产量以企业生产实际为准。上述原辅材料中，属于环境风险物质的品种及最大存在量分别为：盐酸30.0吨、硫酸60.0吨、甲醇20.0吨、二甲苯8.0吨、乙酸乙酯5.0吨、氨水2.0吨、次氯酸钠2.0吨、硫化氢0.05吨。其中硫酸、盐酸、甲醇储存量较大，分别储存于30立方米盐酸储罐、2×20立方米硫酸储罐和20立方米甲醇储罐中；二甲苯、乙酸乙酯、氨水、次氯酸钠采用桶装储存。公司生产过程中产生的危险废物种类包括废活性炭、废有机溶剂、废包装桶、废矿物油、精馏残渣，分类暂存于危废暂存间，委托泰安某危废处置有限公司处置。</w:t>
      </w:r>
    </w:p>
    <w:p>
      <w:pPr>
        <w:keepNext w:val="true"/>
        <w:spacing w:line="500" w:lineRule="exact" w:before="0" w:after="0"/>
        <w:jc w:val="center"/>
      </w:pPr>
      <w:r>
        <w:rPr>
          <w:rFonts w:ascii="宋体" w:hAnsi="宋体" w:eastAsia="宋体"/>
          <w:sz w:val="24"/>
          <w:b/>
        </w:rPr>
        <w:t>表2-2 企业主要原辅材料及产品一览表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514"/>
        <w:gridCol w:w="822"/>
        <w:gridCol w:w="1542"/>
        <w:gridCol w:w="822"/>
        <w:gridCol w:w="822"/>
        <w:gridCol w:w="822"/>
        <w:gridCol w:w="1336"/>
        <w:gridCol w:w="1542"/>
      </w:tblGrid>
      <w:tr>
        <w:trPr>
          <w:cantSplit w:val="true"/>
          <w:trHeight w:val="320" w:hRule="atLeast"/>
          <w:tblHeader w:val="true"/>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类别</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名称</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单位</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性质</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包装</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年耗(产)量</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最大储存量</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盐酸（31%</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储罐）</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硫酸（98%</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储罐）</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甲醇（储罐）</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二甲苯（桶装）</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乙酸乙酯（桶装）</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氨水（20%</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桶装）</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次氯酸钠（桶装）</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导热油（系统内循环）</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氢氧化钠（片碱</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原辅料</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袋装）</w:t>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82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pPr>
        <w:pStyle w:val="Heading2"/>
        <w:spacing w:line="500" w:lineRule="exact" w:before="0" w:after="0"/>
        <w:jc w:val="left"/>
        <w:outlineLvl w:val="1"/>
      </w:pPr>
      <w:bookmarkStart w:id="90011" w:name="_Toc90011"/>
      <w:r>
        <w:rPr>
          <w:rFonts w:ascii="Times New Roman" w:hAnsi="Times New Roman" w:eastAsia="宋体"/>
          <w:sz w:val="28"/>
          <w:b/>
        </w:rPr>
        <w:t>2.4 主要设备</w:t>
      </w:r>
      <w:bookmarkEnd w:id="90011"/>
    </w:p>
    <w:p>
      <w:pPr>
        <w:spacing w:line="500" w:lineRule="exact" w:before="0" w:after="0"/>
        <w:ind w:firstLineChars="200"/>
        <w:jc w:val="left"/>
      </w:pPr>
      <w:r>
        <w:rPr>
          <w:rFonts w:ascii="Times New Roman" w:hAnsi="Times New Roman" w:eastAsia="宋体"/>
          <w:sz w:val="24"/>
        </w:rPr>
        <w:t>公司主要生产设备设施包括反应釜3台、蒸馏塔2台、冷凝器4台、离心机2台、干燥机2台，以及盐酸储罐（30立方米）、硫酸储罐（2×20立方米）、甲醇储罐（20立方米）、装卸鹤管及发料泵等储运设施。环保设备设施包括活性炭吸附+UV光解废气处理装置、15米高排气筒、事故应急池（200立方米）、初期雨水收集池（120立方米）、危废暂存间（80平方米）、厂内废水预处理设施、事故水总排口切换阀。环境应急设施包括储罐区围堰及防火堤、可燃有毒气体泄漏报警装置、应急物资库、消防水收集系统、防雷防静电接地。与环境污染相关的主要设备为活性炭吸附+UV光解废气处理装置、15米高排气筒、厂内废水预处理设施、事故应急池、初期雨水收集池、危废暂存间及事故水总排口切换阀；储罐区围堰及防火堤、可燃有毒气体泄漏报警装置、防雷防静电接地等设施对预防泄漏、火灾爆炸及次生环境污染具有重要作用。</w:t>
      </w:r>
    </w:p>
    <w:p>
      <w:pPr>
        <w:keepNext w:val="true"/>
        <w:spacing w:line="500" w:lineRule="exact" w:before="0" w:after="0"/>
        <w:jc w:val="center"/>
      </w:pPr>
      <w:r>
        <w:rPr>
          <w:rFonts w:ascii="宋体" w:hAnsi="宋体" w:eastAsia="宋体"/>
          <w:sz w:val="24"/>
          <w:b/>
        </w:rPr>
        <w:t>表2-3 公司主要生产设备情况一览表</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617"/>
        <w:gridCol w:w="2261"/>
        <w:gridCol w:w="1850"/>
        <w:gridCol w:w="925"/>
        <w:gridCol w:w="2569"/>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设备名称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规格型号</w:t>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数量</w:t>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所在位置</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反应釜（3台）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蒸馏塔（2台）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冷凝器（4台）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离心机（2台）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干燥机（2台）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盐酸储罐（30立方米）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硫酸储罐（2×20立方米）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甲醇储罐（20立方米）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装卸鹤管及发料泵</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活性炭吸附+UV光解废气处理装置</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15米高排气筒</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事故应急池（200立方米）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初期雨水收集池（120立方米）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危废暂存间（80平方米）</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厂内废水预处理设施</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16</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事故水总排口切换阀</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17</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可燃有毒气体泄漏报警装置</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18</w:t>
            </w:r>
          </w:p>
        </w:tc>
        <w:tc>
          <w:tcPr>
            <w:tcW w:w="22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防雷防静电接地设施</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92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pPr>
        <w:pStyle w:val="Heading2"/>
        <w:spacing w:line="500" w:lineRule="exact" w:before="0" w:after="0"/>
        <w:jc w:val="left"/>
        <w:outlineLvl w:val="1"/>
      </w:pPr>
      <w:bookmarkStart w:id="90012" w:name="_Toc90012"/>
      <w:r>
        <w:rPr>
          <w:rFonts w:ascii="Times New Roman" w:hAnsi="Times New Roman" w:eastAsia="宋体"/>
          <w:sz w:val="28"/>
          <w:b/>
        </w:rPr>
        <w:t>2.5 现有污染防控措施</w:t>
      </w:r>
      <w:bookmarkEnd w:id="90012"/>
    </w:p>
    <w:p>
      <w:pPr>
        <w:spacing w:line="500" w:lineRule="exact" w:before="0" w:after="0"/>
        <w:ind w:firstLineChars="200"/>
        <w:jc w:val="left"/>
      </w:pPr>
      <w:r>
        <w:rPr>
          <w:rFonts w:ascii="Times New Roman" w:hAnsi="Times New Roman" w:eastAsia="宋体"/>
          <w:sz w:val="24"/>
        </w:rPr>
        <w:t>公司现有污染防控措施如下：废气方面，工艺不凝气、储罐呼吸气、装卸废气经冷凝后送活性炭吸附+UV光解装置处理，经15米排气筒排放；危废暂存间、污水处理设施加盖收集后一并处理。废水方面，工艺废水、设备及地面冲洗水、初期雨水经厂内预处理后排入园区污水处理厂，厂内设有事故应急池（200立方米）、初期雨水收集池（120立方米）及事故水总排口切换阀，用于事故状态下废水收集与截流。固体废物方面，危险废物分类暂存于危废暂存间，委托有资质单位泰安某危废处置有限公司处置；危险废物种类包括废活性炭、废有机溶剂、废包装桶、废矿物油、精馏残渣。噪声方面，公司主要噪声源为反应釜、蒸馏塔、离心机、干燥机及各类泵等设备运行噪声，现有防控措施为</w:t>
      </w:r>
      <w:r>
        <w:rPr>
          <w:rFonts w:ascii="Times New Roman" w:hAnsi="Times New Roman" w:eastAsia="宋体"/>
          <w:sz w:val="24"/>
          <w:color w:val="C00000"/>
        </w:rPr>
        <w:t>【待用户填：噪声污染防治措施】</w:t>
      </w:r>
      <w:r>
        <w:rPr>
          <w:rFonts w:ascii="Times New Roman" w:hAnsi="Times New Roman" w:eastAsia="宋体"/>
          <w:sz w:val="24"/>
        </w:rPr>
        <w:t>，厂界噪声排放执行标准为</w:t>
      </w:r>
      <w:r>
        <w:rPr>
          <w:rFonts w:ascii="Times New Roman" w:hAnsi="Times New Roman" w:eastAsia="宋体"/>
          <w:sz w:val="24"/>
          <w:color w:val="C00000"/>
        </w:rPr>
        <w:t>【待用户填：厂界噪声排放执行标准】</w:t>
      </w:r>
      <w:r>
        <w:rPr>
          <w:rFonts w:ascii="Times New Roman" w:hAnsi="Times New Roman" w:eastAsia="宋体"/>
          <w:sz w:val="24"/>
        </w:rPr>
        <w:t>。生活污水排放去向为</w:t>
      </w:r>
      <w:r>
        <w:rPr>
          <w:rFonts w:ascii="Times New Roman" w:hAnsi="Times New Roman" w:eastAsia="宋体"/>
          <w:sz w:val="24"/>
          <w:color w:val="C00000"/>
        </w:rPr>
        <w:t>【待用户填：生活污水排放去向】</w:t>
      </w:r>
      <w:r>
        <w:rPr>
          <w:rFonts w:ascii="Times New Roman" w:hAnsi="Times New Roman" w:eastAsia="宋体"/>
          <w:sz w:val="24"/>
        </w:rPr>
        <w:t>。一般工业固体废物种类及处置方式为</w:t>
      </w:r>
      <w:r>
        <w:rPr>
          <w:rFonts w:ascii="Times New Roman" w:hAnsi="Times New Roman" w:eastAsia="宋体"/>
          <w:sz w:val="24"/>
          <w:color w:val="C00000"/>
        </w:rPr>
        <w:t>【待用户填：一般工业固体废物种类及处置方式】</w:t>
      </w:r>
      <w:r>
        <w:rPr>
          <w:rFonts w:ascii="Times New Roman" w:hAnsi="Times New Roman" w:eastAsia="宋体"/>
          <w:sz w:val="24"/>
        </w:rPr>
        <w:t>。</w:t>
      </w:r>
    </w:p>
    <w:p>
      <w:pPr>
        <w:pStyle w:val="Heading2"/>
        <w:spacing w:line="500" w:lineRule="exact" w:before="0" w:after="0"/>
        <w:jc w:val="left"/>
        <w:outlineLvl w:val="1"/>
      </w:pPr>
      <w:bookmarkStart w:id="90013" w:name="_Toc90013"/>
      <w:r>
        <w:rPr>
          <w:rFonts w:ascii="Times New Roman" w:hAnsi="Times New Roman" w:eastAsia="宋体"/>
          <w:sz w:val="28"/>
          <w:b/>
        </w:rPr>
        <w:t>2.6 企业周边环境风险受体</w:t>
      </w:r>
      <w:bookmarkEnd w:id="90013"/>
    </w:p>
    <w:p>
      <w:pPr>
        <w:spacing w:line="500" w:lineRule="exact" w:before="0" w:after="0"/>
        <w:ind w:firstLineChars="200"/>
        <w:jc w:val="left"/>
      </w:pPr>
      <w:r>
        <w:rPr>
          <w:rFonts w:ascii="Times New Roman" w:hAnsi="Times New Roman" w:eastAsia="宋体"/>
          <w:sz w:val="24"/>
        </w:rPr>
        <w:t>公司厂区周边环境风险受体情况如下：（1）某河，位于厂区西侧1.2公里处，为地表水体，下游10公里涉及基本农田保护区，同时为园区污水处理厂尾水受纳水体；（2）王家村，居民区，位于厂区东北方向，距离420米，约240户、约800人，为最近居民点；（3）园区管委会，行政办公场所，位于厂区南侧，距离900米，常驻约120人；（4）某镇集中供水水源井，饮用水源，位于厂区西侧，距离8000米，为地下水井群，位于某河下游10公里范围内。厂区周边学校、医院等环境风险受体情况为</w:t>
      </w:r>
      <w:r>
        <w:rPr>
          <w:rFonts w:ascii="Times New Roman" w:hAnsi="Times New Roman" w:eastAsia="宋体"/>
          <w:sz w:val="24"/>
          <w:color w:val="C00000"/>
        </w:rPr>
        <w:t>【待用户填：厂区周边学校、医院等环境风险受体名称、方位及距离】</w:t>
      </w:r>
      <w:r>
        <w:rPr>
          <w:rFonts w:ascii="Times New Roman" w:hAnsi="Times New Roman" w:eastAsia="宋体"/>
          <w:sz w:val="24"/>
        </w:rPr>
        <w:t>。根据HJ 941-2018及企业环境风险分级计算结果，大气环境风险受体敏感性E值为E2，水环境风险受体敏感性E值为E1，企业环境风险等级为重大级。</w:t>
      </w:r>
    </w:p>
    <w:p>
      <w:pPr>
        <w:keepNext w:val="true"/>
        <w:spacing w:line="500" w:lineRule="exact" w:before="0" w:after="0"/>
        <w:jc w:val="center"/>
      </w:pPr>
      <w:r>
        <w:rPr>
          <w:rFonts w:ascii="宋体" w:hAnsi="宋体" w:eastAsia="宋体"/>
          <w:sz w:val="24"/>
          <w:b/>
        </w:rPr>
        <w:t>表2-4 企业周边环境风险受体</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514"/>
        <w:gridCol w:w="1644"/>
        <w:gridCol w:w="1336"/>
        <w:gridCol w:w="874"/>
        <w:gridCol w:w="1028"/>
        <w:gridCol w:w="874"/>
        <w:gridCol w:w="1953"/>
      </w:tblGrid>
      <w:tr>
        <w:trPr>
          <w:cantSplit w:val="true"/>
          <w:trHeight w:val="320" w:hRule="atLeast"/>
          <w:tblHeader w:val="true"/>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名称</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类型</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相对方位</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最近距离（m）</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人口数（人）</w:t>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备注</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某河（厂区西侧1.2公里）</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地表水体</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西</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下游10公里涉及基本农田保护区；园区污水处理厂尾水受纳水体</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王家村</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居民区</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东北</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420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约240户、约800人</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园区管委会</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行政办公</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南</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常驻约120人</w:t>
            </w:r>
          </w:p>
        </w:tc>
      </w:tr>
      <w:tr>
        <w:trPr>
          <w:cantSplit w:val="true"/>
          <w:trHeight w:val="320" w:hRule="atLeast"/>
        </w:trPr>
        <w:tc>
          <w:tcPr>
            <w:tcW w:w="5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某镇集中供水水源井</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饮用水源</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西</w:t>
            </w:r>
          </w:p>
        </w:tc>
        <w:tc>
          <w:tcPr>
            <w:tcW w:w="10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w:t>
            </w:r>
          </w:p>
        </w:tc>
        <w:tc>
          <w:tcPr>
            <w:tcW w:w="8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95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地下水井群，位于某河下游10公里范围内</w:t>
            </w:r>
          </w:p>
        </w:tc>
      </w:tr>
    </w:tbl>
    <w:p>
      <w:pPr>
        <w:pStyle w:val="Heading1"/>
        <w:spacing w:line="500" w:lineRule="exact" w:before="0" w:after="0"/>
        <w:jc w:val="left"/>
        <w:outlineLvl w:val="0"/>
      </w:pPr>
      <w:bookmarkStart w:id="90014" w:name="_Toc90014"/>
      <w:r>
        <w:rPr>
          <w:rFonts w:ascii="Times New Roman" w:hAnsi="Times New Roman" w:eastAsia="宋体"/>
          <w:sz w:val="30"/>
          <w:b/>
        </w:rPr>
        <w:t>3 环境风险源与环境风险评价</w:t>
      </w:r>
      <w:bookmarkEnd w:id="90014"/>
    </w:p>
    <w:p>
      <w:pPr>
        <w:pStyle w:val="Heading2"/>
        <w:spacing w:line="500" w:lineRule="exact" w:before="0" w:after="0"/>
        <w:jc w:val="left"/>
        <w:outlineLvl w:val="1"/>
      </w:pPr>
      <w:bookmarkStart w:id="90015" w:name="_Toc90015"/>
      <w:r>
        <w:rPr>
          <w:rFonts w:ascii="Times New Roman" w:hAnsi="Times New Roman" w:eastAsia="宋体"/>
          <w:sz w:val="28"/>
          <w:b/>
        </w:rPr>
        <w:t>3.1 环境风险源分析</w:t>
      </w:r>
      <w:bookmarkEnd w:id="90015"/>
    </w:p>
    <w:p>
      <w:pPr>
        <w:spacing w:line="500" w:lineRule="exact" w:before="0" w:after="0"/>
        <w:ind w:firstLineChars="200"/>
        <w:jc w:val="left"/>
      </w:pPr>
      <w:r>
        <w:rPr>
          <w:rFonts w:ascii="Times New Roman" w:hAnsi="Times New Roman" w:eastAsia="宋体"/>
          <w:sz w:val="24"/>
        </w:rPr>
        <w:t>公司环境风险单元主要包括储罐区、生产车间、危废暂存间、废水预处理设施及废气处理设施。储罐区涉及盐酸储罐（30立方米）、硫酸储罐（2×20立方米）、甲醇储罐（20立方米）及桶装二甲苯、乙酸乙酯、氨水、次氯酸钠等物料，收发料与装卸作业产生呼吸损耗，事故诱因包括储罐或管线腐蚀穿孔、装卸鹤管及发料泵密封失效、防雷防静电接地失效、误操作导致冒罐溢流；污染途径为泄漏物料挥发进入大气、经围堰漫流或雨水管网进入某河及地下水。生产车间涉及反应釜（3台）、蒸馏塔（2台）、冷凝器（4台）、离心机（2台）、干燥机（2台），事故诱因包括反应失控超温超压、冷凝器失效致不凝气异常排放、设备清洗与地面冲洗水未有效收集；污染途径为工艺废气经15米排气筒非正常排放、冲洗水经厂内预处理设施后排入园区污水处理厂。危废暂存间（80平方米）暂存废活性炭、废有机溶剂、废包装桶、废矿物油、精馏残渣，事故诱因包括包装容器破损、分类存放不规范、渗滤液收集不畅；污染途径为危废泄漏下渗污染土壤及地下水。废水预处理设施及事故应急池（200立方米）、初期雨水收集池（120立方米）、事故水总排口切换阀构成水污染防控单元，事故诱因包括切换阀失灵、池体渗漏、初期雨水未及时收集；污染途径为事故废水经雨水总排口进入某河。废气处理设施（活性炭吸附+UV光解）事故诱因包括活性炭饱和、UV灯管故障，污染途径为VOCs及酸性气体超标排放。</w:t>
      </w:r>
    </w:p>
    <w:p>
      <w:pPr>
        <w:pStyle w:val="Heading2"/>
        <w:spacing w:line="500" w:lineRule="exact" w:before="0" w:after="0"/>
        <w:jc w:val="left"/>
        <w:outlineLvl w:val="1"/>
      </w:pPr>
      <w:bookmarkStart w:id="90016" w:name="_Toc90016"/>
      <w:r>
        <w:rPr>
          <w:rFonts w:ascii="Times New Roman" w:hAnsi="Times New Roman" w:eastAsia="宋体"/>
          <w:sz w:val="28"/>
          <w:b/>
        </w:rPr>
        <w:t>3.2 风险等级确定</w:t>
      </w:r>
      <w:bookmarkEnd w:id="90016"/>
    </w:p>
    <w:p>
      <w:pPr>
        <w:spacing w:line="500" w:lineRule="exact" w:before="0" w:after="0"/>
        <w:ind w:firstLineChars="200"/>
        <w:jc w:val="left"/>
      </w:pPr>
      <w:r>
        <w:rPr>
          <w:rFonts w:ascii="Times New Roman" w:hAnsi="Times New Roman" w:eastAsia="宋体"/>
          <w:sz w:val="24"/>
        </w:rPr>
        <w:t>依据《企业突发环境事件风险分级方法》（HJ 941-2018），对公司环境风险物质数量与临界量比值Q值及环境风险受体敏感性E值进行计算。经系统计算，涉气Q值为13.5200，属Q2级别；涉水Q值为13.9000，属Q2级别。大气环境风险受体敏感性E值为E2，水环境风险受体敏感性E值为E1。按照HJ 941-2018风险分级矩阵，结合Q值与E值判定，公司环境风险等级为重大级。该等级表明公司环境风险物质存在量较大，且周边分布有王家村（东北420米，约240户、约800人）、园区管委会（南900米，常驻约120人）、某河（西1.2公里，下游10公里涉及基本农田保护区）及某镇集中供水水源井（西8000米，位于某河下游10公里范围内）等环境风险受体，一旦发生泄漏、火灾、爆炸等事故，可能对周边大气、水体及土壤环境造成较严重影响，须按重大环境风险等级落实各项风险防控与应急措施。</w:t>
      </w:r>
    </w:p>
    <w:p>
      <w:pPr>
        <w:spacing w:line="500" w:lineRule="exact" w:before="0" w:after="0"/>
        <w:ind w:firstLineChars="200"/>
        <w:jc w:val="left"/>
      </w:pPr>
      <w:r>
        <w:rPr>
          <w:rFonts w:ascii="Times New Roman" w:hAnsi="Times New Roman" w:eastAsia="宋体"/>
          <w:sz w:val="24"/>
        </w:rPr>
        <w:t>（1）涉气风险物质数量与临界量比值 Q（大气）</w:t>
      </w:r>
    </w:p>
    <w:p>
      <w:pPr>
        <w:keepNext w:val="true"/>
        <w:spacing w:line="500" w:lineRule="exact" w:before="0" w:after="0"/>
        <w:jc w:val="center"/>
      </w:pPr>
      <w:r>
        <w:rPr>
          <w:rFonts w:ascii="宋体" w:hAnsi="宋体" w:eastAsia="宋体"/>
          <w:sz w:val="24"/>
          <w:b/>
        </w:rPr>
        <w:t>表3-1 企业涉气风险物质数量与临界量比值计算表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2775"/>
        <w:gridCol w:w="1644"/>
        <w:gridCol w:w="1542"/>
        <w:gridCol w:w="1644"/>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风险物质名称</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Q值</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0.0500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0.0200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合计</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Q = 13.5200</w:t>
            </w:r>
          </w:p>
        </w:tc>
      </w:tr>
    </w:tbl>
    <w:p>
      <w:pPr>
        <w:spacing w:line="500" w:lineRule="exact" w:before="0" w:after="0"/>
        <w:ind w:firstLineChars="200"/>
        <w:jc w:val="left"/>
      </w:pPr>
      <w:r>
        <w:rPr>
          <w:rFonts w:ascii="Times New Roman" w:hAnsi="Times New Roman" w:eastAsia="宋体"/>
          <w:sz w:val="24"/>
        </w:rPr>
        <w:t>经计算，涉气风险物质 Q = 13.5200，属于 Q2。</w:t>
      </w:r>
    </w:p>
    <w:p>
      <w:pPr>
        <w:spacing w:line="500" w:lineRule="exact" w:before="0" w:after="0"/>
        <w:ind w:firstLineChars="200"/>
        <w:jc w:val="left"/>
      </w:pPr>
      <w:r>
        <w:rPr>
          <w:rFonts w:ascii="Times New Roman" w:hAnsi="Times New Roman" w:eastAsia="宋体"/>
          <w:sz w:val="24"/>
        </w:rPr>
        <w:t>（2）涉水风险物质数量与临界量比值 Q（水）</w:t>
      </w:r>
    </w:p>
    <w:p>
      <w:pPr>
        <w:keepNext w:val="true"/>
        <w:spacing w:line="500" w:lineRule="exact" w:before="0" w:after="0"/>
        <w:jc w:val="center"/>
      </w:pPr>
      <w:r>
        <w:rPr>
          <w:rFonts w:ascii="宋体" w:hAnsi="宋体" w:eastAsia="宋体"/>
          <w:sz w:val="24"/>
          <w:b/>
        </w:rPr>
        <w:t>表3-2 企业涉水风险物质数量与临界量比值计算表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617"/>
        <w:gridCol w:w="2775"/>
        <w:gridCol w:w="1644"/>
        <w:gridCol w:w="1542"/>
        <w:gridCol w:w="1644"/>
      </w:tblGrid>
      <w:tr>
        <w:trPr>
          <w:cantSplit w:val="true"/>
          <w:trHeight w:val="320" w:hRule="atLeast"/>
          <w:tblHeader w:val="true"/>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风险物质名称</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最大存在量（t）</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临界量（t）</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Q值</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7.5000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0.8000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0.5000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0.2000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2.0000</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5.0000</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0.4000</w:t>
            </w:r>
          </w:p>
        </w:tc>
      </w:tr>
      <w:tr>
        <w:trPr>
          <w:cantSplit w:val="true"/>
          <w:trHeight w:val="320" w:hRule="atLeast"/>
        </w:trPr>
        <w:tc>
          <w:tcPr>
            <w:tcW w:w="61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77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合计</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b/>
              </w:rPr>
              <w:t>Q = 13.9000</w:t>
            </w:r>
          </w:p>
        </w:tc>
      </w:tr>
    </w:tbl>
    <w:p>
      <w:pPr>
        <w:spacing w:line="500" w:lineRule="exact" w:before="0" w:after="0"/>
        <w:ind w:firstLineChars="200"/>
        <w:jc w:val="left"/>
      </w:pPr>
      <w:r>
        <w:rPr>
          <w:rFonts w:ascii="Times New Roman" w:hAnsi="Times New Roman" w:eastAsia="宋体"/>
          <w:sz w:val="24"/>
        </w:rPr>
        <w:t>经计算，涉水风险物质 Q = 13.9000，属于 Q2。</w:t>
      </w:r>
    </w:p>
    <w:p>
      <w:pPr>
        <w:spacing w:line="500" w:lineRule="exact" w:before="0" w:after="0"/>
        <w:ind w:firstLineChars="200"/>
        <w:jc w:val="left"/>
      </w:pPr>
      <w:r>
        <w:rPr>
          <w:rFonts w:ascii="Times New Roman" w:hAnsi="Times New Roman" w:eastAsia="宋体"/>
          <w:sz w:val="24"/>
        </w:rPr>
        <w:t>（3）企业突发环境事件风险等级确定</w:t>
      </w:r>
    </w:p>
    <w:p>
      <w:pPr>
        <w:keepNext w:val="true"/>
        <w:spacing w:line="500" w:lineRule="exact" w:before="0" w:after="0"/>
        <w:jc w:val="center"/>
      </w:pPr>
      <w:r>
        <w:rPr>
          <w:rFonts w:ascii="宋体" w:hAnsi="宋体" w:eastAsia="宋体"/>
          <w:sz w:val="24"/>
          <w:b/>
        </w:rPr>
        <w:t>表3-3 企业突发环境事件风险等级</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3597"/>
        <w:gridCol w:w="2055"/>
        <w:gridCol w:w="2569"/>
      </w:tblGrid>
      <w:tr>
        <w:trPr>
          <w:cantSplit w:val="true"/>
          <w:trHeight w:val="320" w:hRule="atLeast"/>
          <w:tblHeader w:val="true"/>
        </w:trPr>
        <w:tc>
          <w:tcPr>
            <w:tcW w:w="359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企业突发环境事件风险等级</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标识颜色</w:t>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色号</w:t>
            </w:r>
          </w:p>
        </w:tc>
      </w:tr>
      <w:tr>
        <w:trPr>
          <w:cantSplit w:val="true"/>
          <w:trHeight w:val="320" w:hRule="atLeast"/>
        </w:trPr>
        <w:tc>
          <w:tcPr>
            <w:tcW w:w="3597" w:type="dxa"/>
            <w:shd w:val="clear" w:fill="FF0000"/>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b/>
              </w:rPr>
              <w:t>重大</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红色</w:t>
            </w:r>
          </w:p>
        </w:tc>
        <w:tc>
          <w:tcPr>
            <w:tcW w:w="256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keepLines/>
            </w:pPr>
            <w:r>
              <w:rPr>
                <w:rFonts w:ascii="宋体" w:hAnsi="宋体" w:eastAsia="宋体"/>
                <w:sz w:val="21"/>
              </w:rPr>
              <w:t>#FF0000</w:t>
            </w:r>
          </w:p>
        </w:tc>
      </w:tr>
    </w:tbl>
    <w:p>
      <w:pPr>
        <w:pStyle w:val="Heading2"/>
        <w:spacing w:line="500" w:lineRule="exact" w:before="0" w:after="0"/>
        <w:jc w:val="left"/>
        <w:outlineLvl w:val="1"/>
      </w:pPr>
      <w:bookmarkStart w:id="90017" w:name="_Toc90017"/>
      <w:r>
        <w:rPr>
          <w:rFonts w:ascii="Times New Roman" w:hAnsi="Times New Roman" w:eastAsia="宋体"/>
          <w:sz w:val="28"/>
          <w:b/>
        </w:rPr>
        <w:t>3.3 环境风险影响</w:t>
      </w:r>
      <w:bookmarkEnd w:id="90017"/>
    </w:p>
    <w:p>
      <w:pPr>
        <w:spacing w:line="500" w:lineRule="exact" w:before="0" w:after="0"/>
        <w:ind w:firstLineChars="200"/>
        <w:jc w:val="left"/>
      </w:pPr>
      <w:r>
        <w:rPr>
          <w:rFonts w:ascii="Times New Roman" w:hAnsi="Times New Roman" w:eastAsia="宋体"/>
          <w:sz w:val="24"/>
        </w:rPr>
        <w:t>突发环境事件的大气影响方面，根据大气扩散预测，硫酸泄漏后F类稳定度下100米处浓度89.3096 mg/m³、200米处23.0912 mg/m³、300米处10.6048 mg/m³、500米处4.0668 mg/m³、1000米处1.1764 mg/m³、2000米处0.3781 mg/m³、3000米处0.2077 mg/m³、5000米处0.1057 mg/m³；下风向浓度降至LC₅₀（510.0000 mg/m³）以内的距离约50米，该范围内人员存在急性中毒风险；降至车间最高允许浓度（2.0000 mg/m³）以内的距离约740米，该范围内作业人员应配备相应个体防护用品。甲醇池火情景下，热辐射25 kW/m²等值线距离10.5米，12.5 kW/m²距离14.9米，4 kW/m²距离26.3米；蒸气云爆炸情景下，超压0.10 MPa距离43.7米，0.05 MPa距离62.7米，0.03 MPa距离84.5米，0.02 MPa距离109.6米。上述范围内涉及王家村（东北420米）及园区管委会（南900米）等受体，须按对应距离划定警戒与疏散范围。水体影响方面，事故废水若经雨水总排口进入某河，将影响某河水质，某河为园区污水处理厂尾水受纳水体，下游10公里涉及基本农田保护区，且某镇集中供水水源井位于某河下游10公里范围内，可能对地下水及供水安全构成威胁。土壤影响方面，危废暂存间废有机溶剂、废矿物油及精馏残渣泄漏下渗，或储罐区硫酸、盐酸泄漏漫流，可能造成土壤酸化及地下水污染。</w:t>
      </w:r>
    </w:p>
    <w:p>
      <w:pPr>
        <w:pStyle w:val="Heading2"/>
        <w:spacing w:line="500" w:lineRule="exact" w:before="0" w:after="0"/>
        <w:jc w:val="left"/>
        <w:outlineLvl w:val="1"/>
      </w:pPr>
      <w:bookmarkStart w:id="90018" w:name="_Toc90018"/>
      <w:r>
        <w:rPr>
          <w:rFonts w:ascii="Times New Roman" w:hAnsi="Times New Roman" w:eastAsia="宋体"/>
          <w:sz w:val="28"/>
          <w:b/>
        </w:rPr>
        <w:t>3.4 公司应急能力评估</w:t>
      </w:r>
      <w:bookmarkEnd w:id="90018"/>
    </w:p>
    <w:p>
      <w:pPr>
        <w:spacing w:line="500" w:lineRule="exact" w:before="0" w:after="0"/>
        <w:ind w:firstLineChars="200"/>
        <w:jc w:val="left"/>
      </w:pPr>
      <w:r>
        <w:rPr>
          <w:rFonts w:ascii="Times New Roman" w:hAnsi="Times New Roman" w:eastAsia="宋体"/>
          <w:sz w:val="24"/>
        </w:rPr>
        <w:t>公司现有应急能力评估如下。组织与人员方面，已设立总指挥李某某、副总指挥王某某、应急办公室主任张某某，以及抢险救援组、警戒疏散组、医疗救护组、环境监测组、后勤保障组等，职责分工基本明确，但应急预案演练记录有待留存，岗位替补机制需进一步健全。装备与物资方面，应急物资库、应急器材柜、车间应急柜配备吸油毡200张、吸油围栏4条、防酸碱防护服6套、正压式空气呼吸器4套、过滤式防毒面具20套、化学防护手套及护目镜20套、堵漏胶及堵漏夹具2套、干粉灭火器40只、推车式灭火器6只、酸碱中和药剂2吨、便携式气体检测仪4台、便携式VOCs检测仪2台、应急照明及警示带10套、应急转运桶20个及沙袋200条、洗眼器及应急喷淋装置6处，物资种类与数量基本满足初期处置需求，但物资台账管理需进一步规范，定期检查与更新记录有待完善。监测能力方面，已明确泰安市某检测有限公司为监测机构，监测项目包括pH、COD、氨氮、总磷、氯化物、硫酸盐、非甲烷总烃、氯化氢、氨、颗粒物，监测点位覆盖厂区废水总排口、雨水总排口、事故应急池、废气排气筒及厂界下风向100米，监测频次为事故初期每1小时1次、事态稳定后每4小时1次，但企业自身快速监测能力有限，依赖外部机构响应时间。制度方面，已建有事故事故应急池（200立方米）、初期雨水收集池（120立方米）、事故水总排口切换阀等设施，但环境应急管理制度文本尚未健全，隐患排查与风险防控台账需进一步规范。总体而言，公司应急能力与重大环境风险等级处置需求之间尚存在差距，需在演练记录留存、物资台账管理、制度文本完善等方面持续改进。</w:t>
      </w:r>
    </w:p>
    <w:p>
      <w:pPr>
        <w:pStyle w:val="Heading1"/>
        <w:spacing w:line="500" w:lineRule="exact" w:before="0" w:after="0"/>
        <w:jc w:val="left"/>
        <w:outlineLvl w:val="0"/>
      </w:pPr>
      <w:bookmarkStart w:id="90019" w:name="_Toc90019"/>
      <w:r>
        <w:rPr>
          <w:rFonts w:ascii="Times New Roman" w:hAnsi="Times New Roman" w:eastAsia="宋体"/>
          <w:sz w:val="30"/>
          <w:b/>
        </w:rPr>
        <w:t>4 组织指挥体系及职责</w:t>
      </w:r>
      <w:bookmarkEnd w:id="90019"/>
    </w:p>
    <w:p>
      <w:pPr>
        <w:pStyle w:val="Heading2"/>
        <w:spacing w:line="500" w:lineRule="exact" w:before="0" w:after="0"/>
        <w:jc w:val="left"/>
        <w:outlineLvl w:val="1"/>
      </w:pPr>
      <w:bookmarkStart w:id="90020" w:name="_Toc90020"/>
      <w:r>
        <w:rPr>
          <w:rFonts w:ascii="Times New Roman" w:hAnsi="Times New Roman" w:eastAsia="宋体"/>
          <w:sz w:val="28"/>
          <w:b/>
        </w:rPr>
        <w:t>4.1 组织体系</w:t>
      </w:r>
      <w:bookmarkEnd w:id="90020"/>
    </w:p>
    <w:p>
      <w:pPr>
        <w:spacing w:line="500" w:lineRule="exact" w:before="0" w:after="0"/>
        <w:ind w:firstLineChars="200"/>
        <w:jc w:val="left"/>
      </w:pPr>
      <w:r>
        <w:rPr>
          <w:rFonts w:ascii="Times New Roman" w:hAnsi="Times New Roman" w:eastAsia="宋体"/>
          <w:sz w:val="24"/>
        </w:rPr>
        <w:t>泰安示例新材料科技有限公司应急组织体系由应急指挥部、应急办公室和六个应急行动小组构成，形成“指挥部—办公室—行动组”三级响应架构。应急指挥部为全厂突发环境事件应对的最高指挥机构，设总指挥一名，由法定代表人李某某担任；设副总指挥一名，由王某某担任。应急办公室设在安环部，设主任一名，由张某某担任，承担日常应急管理与事故状态下信息汇总、指令传递工作。应急指挥部下设抢险救援组、警戒疏散组、医疗救护组、环境监测组、后勤保障组六个应急行动小组，分别由刘某某、陈某某、杨某某、周某某、孙某某担任组长，各组人员由车间操作人员、安环管理人员及后勤人员按岗编成。该体系覆盖公司储罐区、反应釜、蒸馏塔、危废暂存间、废气处理装置、厂内废水预处理设施等全部风险单元，与应急物资库、应急器材柜、车间应急柜的物资管理责任相衔接，做到指挥统一、分组明确、责任到人。</w:t>
      </w:r>
    </w:p>
    <w:p>
      <w:pPr>
        <w:spacing w:line="500" w:lineRule="exact" w:before="0" w:after="0"/>
        <w:ind w:firstLineChars="200"/>
        <w:jc w:val="left"/>
      </w:pPr>
      <w:r>
        <w:rPr>
          <w:rFonts w:ascii="Times New Roman" w:hAnsi="Times New Roman" w:eastAsia="宋体"/>
          <w:sz w:val="24"/>
        </w:rPr>
        <w:t>本单位设立突发环境事件应急指挥部，负责本单位突发环境事件应急工作。</w:t>
      </w:r>
    </w:p>
    <w:p>
      <w:pPr>
        <w:spacing w:line="500" w:lineRule="exact" w:before="0" w:after="0"/>
        <w:ind w:firstLineChars="200"/>
        <w:jc w:val="left"/>
      </w:pPr>
      <w:r>
        <w:rPr>
          <w:rFonts w:ascii="Times New Roman" w:hAnsi="Times New Roman" w:eastAsia="宋体"/>
          <w:sz w:val="24"/>
        </w:rPr>
        <w:t>应急指挥部总指挥由本单位主要负责人担任，副总指挥由分管负责人担任；应急指挥部下设应急办公室，并设抢险救援组、警戒疏散组、医疗救护组、环境监测组、后勤保障组等应急小组。</w:t>
      </w:r>
    </w:p>
    <w:p>
      <w:pPr>
        <w:spacing w:line="500" w:lineRule="exact" w:before="0" w:after="0"/>
        <w:ind w:firstLineChars="200"/>
        <w:jc w:val="left"/>
      </w:pPr>
      <w:r>
        <w:rPr>
          <w:rFonts w:ascii="Times New Roman" w:hAnsi="Times New Roman" w:eastAsia="宋体"/>
          <w:sz w:val="24"/>
        </w:rPr>
        <w:t>本单位应急组织体系如下图所示：</w:t>
      </w:r>
    </w:p>
    <w:tbl>
      <w:tblPr>
        <w:tblStyle w:val="TableGrid"/>
        <w:tblW w:type="auto" w:w="0"/>
        <w:jc w:val="center"/>
        <w:tblLayout w:type="fixed"/>
        <w:tblLook w:firstColumn="1" w:firstRow="1" w:lastColumn="0" w:lastRow="0" w:noHBand="0" w:noVBand="1" w:val="04A0"/>
      </w:tblPr>
      <w:tblGrid>
        <w:gridCol w:w="1701"/>
        <w:gridCol w:w="1701"/>
        <w:gridCol w:w="1701"/>
        <w:gridCol w:w="1701"/>
        <w:gridCol w:w="1701"/>
      </w:tblGrid>
      <w:tr>
        <w:tc>
          <w:tcPr>
            <w:tcW w:type="dxa" w:w="9070"/>
            <w:gridSpan w:val="5"/>
            <w:shd w:val="clear" w:fill="D9E2F3"/>
          </w:tcPr>
          <w:p>
            <w:pPr>
              <w:spacing w:line="312" w:lineRule="auto"/>
              <w:jc w:val="center"/>
              <w:keepLines/>
            </w:pPr>
            <w:r/>
            <w:r>
              <w:rPr>
                <w:rFonts w:ascii="Times New Roman" w:hAnsi="Times New Roman" w:eastAsia="宋体"/>
                <w:sz w:val="22"/>
                <w:b/>
              </w:rPr>
              <w:t>应急指挥部</w:t>
              <w:br/>
              <w:t>总指挥：李某某    副总指挥：王某某</w:t>
            </w:r>
          </w:p>
        </w:tc>
      </w:tr>
      <w:tr>
        <w:tc>
          <w:tcPr>
            <w:tcW w:type="dxa" w:w="9070"/>
            <w:gridSpan w:val="5"/>
            <w:shd w:val="clear" w:fill="D9E2F3"/>
          </w:tcPr>
          <w:p>
            <w:pPr>
              <w:spacing w:line="312" w:lineRule="auto"/>
              <w:jc w:val="center"/>
              <w:keepLines/>
            </w:pPr>
            <w:r/>
            <w:r>
              <w:rPr>
                <w:rFonts w:ascii="Times New Roman" w:hAnsi="Times New Roman" w:eastAsia="宋体"/>
                <w:sz w:val="22"/>
                <w:b/>
              </w:rPr>
              <w:t>应急办公室</w:t>
              <w:br/>
              <w:t>主任：张某某</w:t>
            </w:r>
          </w:p>
        </w:tc>
      </w:tr>
      <w:tr>
        <w:tc>
          <w:tcPr>
            <w:tcW w:type="dxa" w:w="1814"/>
          </w:tcPr>
          <w:p>
            <w:pPr>
              <w:spacing w:line="312" w:lineRule="auto"/>
              <w:jc w:val="center"/>
              <w:keepLines/>
            </w:pPr>
            <w:r/>
            <w:r>
              <w:rPr>
                <w:rFonts w:ascii="Times New Roman" w:hAnsi="Times New Roman" w:eastAsia="宋体"/>
                <w:sz w:val="21"/>
              </w:rPr>
              <w:t>抢险救援组</w:t>
              <w:br/>
              <w:t>刘某某</w:t>
            </w:r>
          </w:p>
        </w:tc>
        <w:tc>
          <w:tcPr>
            <w:tcW w:type="dxa" w:w="1814"/>
          </w:tcPr>
          <w:p>
            <w:pPr>
              <w:spacing w:line="312" w:lineRule="auto"/>
              <w:jc w:val="center"/>
              <w:keepLines/>
            </w:pPr>
            <w:r/>
            <w:r>
              <w:rPr>
                <w:rFonts w:ascii="Times New Roman" w:hAnsi="Times New Roman" w:eastAsia="宋体"/>
                <w:sz w:val="21"/>
              </w:rPr>
              <w:t>警戒疏散组</w:t>
              <w:br/>
              <w:t>陈某某</w:t>
            </w:r>
          </w:p>
        </w:tc>
        <w:tc>
          <w:tcPr>
            <w:tcW w:type="dxa" w:w="1814"/>
          </w:tcPr>
          <w:p>
            <w:pPr>
              <w:spacing w:line="312" w:lineRule="auto"/>
              <w:jc w:val="center"/>
              <w:keepLines/>
            </w:pPr>
            <w:r/>
            <w:r>
              <w:rPr>
                <w:rFonts w:ascii="Times New Roman" w:hAnsi="Times New Roman" w:eastAsia="宋体"/>
                <w:sz w:val="21"/>
              </w:rPr>
              <w:t>医疗救护组</w:t>
              <w:br/>
              <w:t>杨某某</w:t>
            </w:r>
          </w:p>
        </w:tc>
        <w:tc>
          <w:tcPr>
            <w:tcW w:type="dxa" w:w="1814"/>
          </w:tcPr>
          <w:p>
            <w:pPr>
              <w:spacing w:line="312" w:lineRule="auto"/>
              <w:jc w:val="center"/>
              <w:keepLines/>
            </w:pPr>
            <w:r/>
            <w:r>
              <w:rPr>
                <w:rFonts w:ascii="Times New Roman" w:hAnsi="Times New Roman" w:eastAsia="宋体"/>
                <w:sz w:val="21"/>
              </w:rPr>
              <w:t>环境监测组</w:t>
              <w:br/>
              <w:t>周某某</w:t>
            </w:r>
          </w:p>
        </w:tc>
        <w:tc>
          <w:tcPr>
            <w:tcW w:type="dxa" w:w="1814"/>
          </w:tcPr>
          <w:p>
            <w:pPr>
              <w:spacing w:line="312" w:lineRule="auto"/>
              <w:jc w:val="center"/>
              <w:keepLines/>
            </w:pPr>
            <w:r/>
            <w:r>
              <w:rPr>
                <w:rFonts w:ascii="Times New Roman" w:hAnsi="Times New Roman" w:eastAsia="宋体"/>
                <w:sz w:val="21"/>
              </w:rPr>
              <w:t>后勤保障组</w:t>
              <w:br/>
              <w:t>孙某某</w:t>
            </w:r>
          </w:p>
        </w:tc>
      </w:tr>
    </w:tbl>
    <w:p>
      <w:pPr>
        <w:keepNext w:val="true"/>
        <w:spacing w:line="500" w:lineRule="exact" w:before="0" w:after="0"/>
        <w:jc w:val="center"/>
      </w:pPr>
      <w:r>
        <w:rPr>
          <w:rFonts w:ascii="宋体" w:hAnsi="宋体" w:eastAsia="宋体"/>
          <w:sz w:val="24"/>
          <w:b/>
        </w:rPr>
        <w:t>图4-1  应急组织体系</w:t>
      </w:r>
    </w:p>
    <w:p>
      <w:pPr>
        <w:spacing w:line="500" w:lineRule="exact" w:before="0" w:after="0"/>
        <w:ind w:firstLineChars="200"/>
        <w:jc w:val="left"/>
      </w:pPr>
      <w:r>
        <w:rPr>
          <w:rFonts w:ascii="Times New Roman" w:hAnsi="Times New Roman" w:eastAsia="宋体"/>
          <w:sz w:val="24"/>
        </w:rPr>
        <w:t>当突发环境事件超出本单位处置能力时，由属地生态环境主管部门及地方人民政府启动上级应急预案，本单位应急指挥部配合上级指挥机构开展工作，本单位各应急小组服从现场统一指挥。</w:t>
      </w:r>
    </w:p>
    <w:p>
      <w:pPr>
        <w:pStyle w:val="Heading2"/>
        <w:spacing w:line="500" w:lineRule="exact" w:before="0" w:after="0"/>
        <w:jc w:val="left"/>
        <w:outlineLvl w:val="1"/>
      </w:pPr>
      <w:bookmarkStart w:id="90021" w:name="_Toc90021"/>
      <w:r>
        <w:rPr>
          <w:rFonts w:ascii="Times New Roman" w:hAnsi="Times New Roman" w:eastAsia="宋体"/>
          <w:sz w:val="28"/>
          <w:b/>
        </w:rPr>
        <w:t>4.2 指挥机构及职责</w:t>
      </w:r>
      <w:bookmarkEnd w:id="90021"/>
    </w:p>
    <w:p>
      <w:pPr>
        <w:spacing w:line="500" w:lineRule="exact" w:before="0" w:after="0"/>
        <w:ind w:firstLineChars="200"/>
        <w:jc w:val="left"/>
      </w:pPr>
      <w:r>
        <w:rPr>
          <w:rFonts w:ascii="Times New Roman" w:hAnsi="Times New Roman" w:eastAsia="宋体"/>
          <w:sz w:val="24"/>
        </w:rPr>
        <w:t>应急指挥部职责为：统一指挥本公司突发环境事件应急处置，决定启动和终止应急响应，批准现场处置方案，调动全厂人力、物资和应急设施，向属地应急管理部门报告并请求支援。总指挥李某某负责全面指挥与对外报告；副总指挥王某某协助总指挥并在其不在时代行职责。应急办公室张某某负责接警登记、信息汇总、指令传达、与泰安市某检测有限公司及外部救援力量的联络，并做好处置记录。抢险救援组刘某某负责储罐区、反应釜、蒸馏塔等部位的堵漏、关阀、倒罐、灭火及事故废水拦截，使用堵漏胶、堵漏夹具、木楔、吸油毡、吸油围栏、干粉灭火器、推车式干粉/泡沫灭火器等物资。警戒疏散组陈某某负责按事故源强划定的警戒范围设置警示带、警示牌，组织人员向厂区北侧应急集合点疏散。医疗救护组杨某某负责伤员现场急救与转运，协调泰安市某医院。环境监测组周某某负责按监测方案开展厂区废水总排口、雨水总排口、事故应急池、废气排气筒、厂界下风向100米监测。后勤保障组孙某某负责应急物资、车辆、照明及生活保障。</w:t>
      </w:r>
    </w:p>
    <w:p>
      <w:pPr>
        <w:keepNext w:val="true"/>
        <w:spacing w:line="500" w:lineRule="exact" w:before="0" w:after="0"/>
        <w:jc w:val="center"/>
      </w:pPr>
      <w:r>
        <w:rPr>
          <w:rFonts w:ascii="宋体" w:hAnsi="宋体" w:eastAsia="宋体"/>
          <w:sz w:val="24"/>
          <w:b/>
        </w:rPr>
        <w:t>表4-1 应急小组及其职责分工</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304"/>
        <w:gridCol w:w="1191"/>
        <w:gridCol w:w="1021"/>
        <w:gridCol w:w="1758"/>
        <w:gridCol w:w="2948"/>
      </w:tblGrid>
      <w:tr>
        <w:trPr>
          <w:cantSplit w:val="true"/>
          <w:trHeight w:val="320" w:hRule="atLeast"/>
          <w:tblHeader w:val="true"/>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机构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职务</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姓名</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电话</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主要职责</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应急指挥部</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总指挥</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李某某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13700000010</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统一指挥本单位突发环境事件应急处置工作；决定启动、终止应急响应；负责向生态环境主管部门报告；负责对外信息发布。</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应急指挥部</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副总指挥</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王某某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13700000011</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协助总指挥开展应急指挥工作；总指挥不在时代行其职责。</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应急办公室</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应急办公室主任</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张某某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13700000012</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负责应急值守、信息接报与上传下达；负责与外部救援力量的联络；负责应急物资台账管理与演练组织。</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抢险救援组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刘某某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13700000013</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负责污染源切断、泄漏封堵、导流拦截等现场处置操作；配合开展污染物收集与暂存。</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警戒疏散组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陈某某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13700000014</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负责设置警戒线、疏导交通、组织人员疏散；保护事件现场。</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医疗救护组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杨某某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13700000015</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负责伤员急救与送医；联系急救机构；负责应急人员防护与洗消。</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环境监测组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负责配合监测机构开展应急监测、采样送检；跟踪污染物扩散趋势。</w:t>
            </w:r>
          </w:p>
        </w:tc>
      </w:tr>
      <w:tr>
        <w:trPr>
          <w:cantSplit w:val="true"/>
          <w:trHeight w:val="320" w:hRule="atLeast"/>
        </w:trPr>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后勤保障组</w:t>
            </w:r>
          </w:p>
        </w:tc>
        <w:tc>
          <w:tcPr>
            <w:tcW w:w="119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102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75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c>
          <w:tcPr>
            <w:tcW w:w="294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负责应急物资、装备、资金、车辆及通信保障。</w:t>
            </w:r>
          </w:p>
        </w:tc>
      </w:tr>
    </w:tbl>
    <w:p>
      <w:pPr>
        <w:pStyle w:val="Heading2"/>
        <w:spacing w:line="500" w:lineRule="exact" w:before="0" w:after="0"/>
        <w:jc w:val="left"/>
        <w:outlineLvl w:val="1"/>
      </w:pPr>
      <w:bookmarkStart w:id="90022" w:name="_Toc90022"/>
      <w:r>
        <w:rPr>
          <w:rFonts w:ascii="Times New Roman" w:hAnsi="Times New Roman" w:eastAsia="宋体"/>
          <w:sz w:val="28"/>
          <w:b/>
        </w:rPr>
        <w:t>4.3 应急指挥运行机制</w:t>
      </w:r>
      <w:bookmarkEnd w:id="90022"/>
    </w:p>
    <w:p>
      <w:pPr>
        <w:spacing w:line="500" w:lineRule="exact" w:before="0" w:after="0"/>
        <w:ind w:firstLineChars="200"/>
        <w:jc w:val="left"/>
      </w:pPr>
      <w:r>
        <w:rPr>
          <w:rFonts w:ascii="Times New Roman" w:hAnsi="Times New Roman" w:eastAsia="宋体"/>
          <w:sz w:val="24"/>
        </w:rPr>
        <w:t>公司实行24小时应急值守，值班电话0538-866XXXX保持畅通，值班人员接到报警后立即报告应急办公室主任张某某，由张某某报告总指挥李某某，并按总指挥指令启动相应级别响应。信息报送实行“首报快、续报准、终报全”，事故发生后由应急办公室在规定时限内向属地应急管理部门报告，报告内容包括发生时间、地点、物质、已采取措施及人员伤亡情况；涉及饮用水源等敏感目标时同步报告。指挥协同上，总指挥统一调度各行动组，副总指挥王某某负责现场协调，应急办公室保持与各组的通信联络，必要时请求泰安市某检测有限公司开展应急监测、泰安市某医院提供医疗支援，外部救援单位名称及联系电话为</w:t>
      </w:r>
      <w:r>
        <w:rPr>
          <w:rFonts w:ascii="Times New Roman" w:hAnsi="Times New Roman" w:eastAsia="宋体"/>
          <w:sz w:val="24"/>
          <w:color w:val="C00000"/>
        </w:rPr>
        <w:t>【待用户填：外部救援单位名称及联系电话】</w:t>
      </w:r>
      <w:r>
        <w:rPr>
          <w:rFonts w:ascii="Times New Roman" w:hAnsi="Times New Roman" w:eastAsia="宋体"/>
          <w:sz w:val="24"/>
        </w:rPr>
        <w:t>。力量调度遵循“先控制、后处置，先救人、后救物”原则，优先调动抢险救援组和警戒疏散组，依据硫酸泄漏、甲醇池火及蒸气云爆炸的预测距离划定警戒与疏散范围，再按需调动监测、医疗和后勤力量，确保处置有序。</w:t>
      </w:r>
    </w:p>
    <w:p>
      <w:pPr>
        <w:pStyle w:val="Heading2"/>
        <w:spacing w:line="500" w:lineRule="exact" w:before="0" w:after="0"/>
        <w:jc w:val="left"/>
        <w:outlineLvl w:val="1"/>
      </w:pPr>
      <w:bookmarkStart w:id="90023" w:name="_Toc90023"/>
      <w:r>
        <w:rPr>
          <w:rFonts w:ascii="Times New Roman" w:hAnsi="Times New Roman" w:eastAsia="宋体"/>
          <w:sz w:val="28"/>
          <w:b/>
        </w:rPr>
        <w:t>4.4 应急值班人员守则</w:t>
      </w:r>
      <w:bookmarkEnd w:id="90023"/>
    </w:p>
    <w:p>
      <w:pPr>
        <w:spacing w:line="500" w:lineRule="exact" w:before="0" w:after="0"/>
        <w:ind w:firstLineChars="200"/>
        <w:jc w:val="left"/>
      </w:pPr>
      <w:r>
        <w:rPr>
          <w:rFonts w:ascii="Times New Roman" w:hAnsi="Times New Roman" w:eastAsia="宋体"/>
          <w:sz w:val="24"/>
        </w:rPr>
        <w:t>应急值班人员应坚守岗位，不得擅自离岗、脱岗，值班期间保持值班电话0538-866XXXX和通信设备畅通，做好值班记录和交接班。值班人员应熟悉本公司环境风险物质盐酸、硫酸、甲醇、二甲苯、乙酸乙酯、氨水、次氯酸钠、硫化氢的存放位置与危害特性，熟悉可燃有毒气体泄漏报警装置报警信号的含义和处置程序，熟悉事故应急池、初期雨水收集池、事故水总排口切换阀的操作位置。接到报警或发现异常后，应立即核实情况并按程序报告应急办公室主任张某某，情况紧急时可先通知抢险救援组刘某某组织先期处置，再逐级上报。值班人员应正确使用便携式气体检测仪、便携式VOCs检测仪进行初步判断，按要求佩戴过滤式防毒面具、化学防护手套、护目镜等防护用品，严禁盲目进入泄漏区域。值班人员应如实记录报警时间、事故部位、处置过程和报告对象，不得迟报、漏报、谎报，并配合做好事故调查取证工作。</w:t>
      </w:r>
    </w:p>
    <w:p>
      <w:pPr>
        <w:pStyle w:val="Heading1"/>
        <w:spacing w:line="500" w:lineRule="exact" w:before="0" w:after="0"/>
        <w:jc w:val="left"/>
        <w:outlineLvl w:val="0"/>
      </w:pPr>
      <w:bookmarkStart w:id="90024" w:name="_Toc90024"/>
      <w:r>
        <w:rPr>
          <w:rFonts w:ascii="Times New Roman" w:hAnsi="Times New Roman" w:eastAsia="宋体"/>
          <w:sz w:val="30"/>
          <w:b/>
        </w:rPr>
        <w:t>5 预防与预警机制</w:t>
      </w:r>
      <w:bookmarkEnd w:id="90024"/>
    </w:p>
    <w:p>
      <w:pPr>
        <w:pStyle w:val="Heading2"/>
        <w:spacing w:line="500" w:lineRule="exact" w:before="0" w:after="0"/>
        <w:jc w:val="left"/>
        <w:outlineLvl w:val="1"/>
      </w:pPr>
      <w:bookmarkStart w:id="90025" w:name="_Toc90025"/>
      <w:r>
        <w:rPr>
          <w:rFonts w:ascii="Times New Roman" w:hAnsi="Times New Roman" w:eastAsia="宋体"/>
          <w:sz w:val="28"/>
          <w:b/>
        </w:rPr>
        <w:t>5.1 环境风险源监控</w:t>
      </w:r>
      <w:bookmarkEnd w:id="90025"/>
    </w:p>
    <w:p>
      <w:pPr>
        <w:spacing w:line="500" w:lineRule="exact" w:before="0" w:after="0"/>
        <w:ind w:firstLineChars="200"/>
        <w:jc w:val="left"/>
      </w:pPr>
      <w:r>
        <w:rPr>
          <w:rFonts w:ascii="Times New Roman" w:hAnsi="Times New Roman" w:eastAsia="宋体"/>
          <w:sz w:val="24"/>
        </w:rPr>
        <w:t>公司环境风险源监控由安环部统一负责，生产部门与设备管理部门配合实施。监控对象包括盐酸储罐、硫酸储罐、甲醇储罐、二甲苯及乙酸乙酯桶装物料存放区、氨水及次氯酸钠桶装物料存放区、反应釜、蒸馏塔、危废暂存间、厂内废水预处理设施、事故应急池、初期雨水收集池及事故水总排口切换阀等风险单元。日常监控依托可燃有毒气体泄漏报警装置对储罐区、反应釜区及装卸作业区实施连续监测，报警信号接入值班室；安环部每周对报警装置、防雷防静电接地设施及事故水总排口切换阀进行一次功能核查，每月对储罐液位、围堰及防火堤完好情况进行一次专项检查。生产部门在储罐收发料、装卸鹤管作业期间实行现场专人值守，每2小时巡检一次并记录。设备管理部门每月对反应釜、蒸馏塔、冷凝器及废气处理装置运行状态进行检查。环境监测组按应急监测方案要求，在事故状态下对厂区废水总排口、雨水总排口、事故应急池、废气排气筒及厂界下风向100米开展监测，事故初期每1小时1次，事态稳定后每4小时1次，直至恢复正常。所有监控与巡检记录由安环部归档留存。</w:t>
      </w:r>
    </w:p>
    <w:p>
      <w:pPr>
        <w:pStyle w:val="Heading2"/>
        <w:spacing w:line="500" w:lineRule="exact" w:before="0" w:after="0"/>
        <w:jc w:val="left"/>
        <w:outlineLvl w:val="1"/>
      </w:pPr>
      <w:bookmarkStart w:id="90026" w:name="_Toc90026"/>
      <w:r>
        <w:rPr>
          <w:rFonts w:ascii="Times New Roman" w:hAnsi="Times New Roman" w:eastAsia="宋体"/>
          <w:sz w:val="28"/>
          <w:b/>
        </w:rPr>
        <w:t>5.2 预防措施</w:t>
      </w:r>
      <w:bookmarkEnd w:id="90026"/>
    </w:p>
    <w:p>
      <w:pPr>
        <w:spacing w:line="500" w:lineRule="exact" w:before="0" w:after="0"/>
        <w:ind w:firstLineChars="200"/>
        <w:jc w:val="left"/>
      </w:pPr>
      <w:r>
        <w:rPr>
          <w:rFonts w:ascii="Times New Roman" w:hAnsi="Times New Roman" w:eastAsia="宋体"/>
          <w:sz w:val="24"/>
        </w:rPr>
        <w:t>针对储罐区，盐酸储罐、硫酸储罐、甲醇储罐设置围堰及防火堤，储罐区配置可燃有毒气体泄漏报警装置与防雷防静电接地设施，收发料及装卸作业通过装卸鹤管及发料泵在专人监护下进行，防止跑冒滴漏。针对反应釜与蒸馏塔单元，工艺不凝气、储罐呼吸气及装卸废气经冷凝后送活性炭吸附+UV光解废气处理装置处理，经15米排气筒排放；反应釜、蒸馏塔操作严格执行工艺指标，设备管理部门定期检修冷凝器、离心机、干燥机，防止物料泄漏。针对桶装物料存放区，二甲苯、乙酸乙酯、氨水、次氯酸钠分类存放，由生产部门落实防泄漏与防混存管理。针对废水单元，工艺废水、设备及地面冲洗水、初期雨水经厂内废水预处理设施处理后排入园区污水处理厂，初期雨水收集池（120立方米）与事故应急池（200立方米）保持有效容积，事故水总排口切换阀由安环部负责日常检查，确保事故状态下能够及时切换截流。针对危废暂存间，废活性炭、废有机溶剂、废包装桶、废矿物油、精馏残渣分类暂存，委托泰安某危废处置有限公司处置，危废暂存间加盖收集废气并入废气处理系统。管理措施方面，安环部负责组织风险单元巡查、台账管理与制度落实，生产部门负责操作规程执行，设备管理部门负责设施维护保养。</w:t>
      </w:r>
    </w:p>
    <w:p>
      <w:pPr>
        <w:pStyle w:val="Heading2"/>
        <w:spacing w:line="500" w:lineRule="exact" w:before="0" w:after="0"/>
        <w:jc w:val="left"/>
        <w:outlineLvl w:val="1"/>
      </w:pPr>
      <w:bookmarkStart w:id="90027" w:name="_Toc90027"/>
      <w:r>
        <w:rPr>
          <w:rFonts w:ascii="Times New Roman" w:hAnsi="Times New Roman" w:eastAsia="宋体"/>
          <w:sz w:val="28"/>
          <w:b/>
        </w:rPr>
        <w:t>5.3 预警及措施</w:t>
      </w:r>
      <w:bookmarkEnd w:id="90027"/>
    </w:p>
    <w:p>
      <w:pPr>
        <w:spacing w:line="500" w:lineRule="exact" w:before="0" w:after="0"/>
        <w:ind w:firstLineChars="200"/>
        <w:jc w:val="left"/>
      </w:pPr>
      <w:r>
        <w:rPr>
          <w:rFonts w:ascii="Times New Roman" w:hAnsi="Times New Roman" w:eastAsia="宋体"/>
          <w:sz w:val="24"/>
        </w:rPr>
        <w:t>公司预警分级按照环境风险等级重大级及事故可控程度，由低到高划分为三级预警、二级预警和一级预警。三级预警条件为可燃有毒气体泄漏报警装置出现报警但未确认泄漏、储罐液位或围堰出现异常、废气或废水处理设施运行参数偏离正常范围；二级预警条件为确认发生小量泄漏且泄漏源可控、事故废水可能进入雨水系统、下风向厂界浓度接近车间最高允许浓度；一级预警条件为发生大量泄漏、火灾或蒸气云爆炸风险，或下风向浓度超过LC₅₀对应距离约50米范围、热辐射25千瓦每平方米等值线距离10.5米范围、超压0.10兆帕距离43.7米范围等严重情形。预警信息由安环部核实后报总指挥李某某批准发布，通过值班电话、内部广播及对讲系统通知各应急小组。三级预警时，由抢险救援组组长刘某某组织现场处置并加强监控；二级预警时，由副总指挥王某某组织警戒疏散组组长陈某某设置警戒，环境监测组组长周某某按应急监测方案开展监测；一级预警时，由总指挥李某某启动相应应急响应，组织人员向上风向厂区北侧应急集合点疏散，并按规定向属地应急管理部门报告。</w:t>
      </w:r>
    </w:p>
    <w:p>
      <w:pPr>
        <w:pStyle w:val="Heading2"/>
        <w:spacing w:line="500" w:lineRule="exact" w:before="0" w:after="0"/>
        <w:jc w:val="left"/>
        <w:outlineLvl w:val="1"/>
      </w:pPr>
      <w:bookmarkStart w:id="90028" w:name="_Toc90028"/>
      <w:r>
        <w:rPr>
          <w:rFonts w:ascii="Times New Roman" w:hAnsi="Times New Roman" w:eastAsia="宋体"/>
          <w:sz w:val="28"/>
          <w:b/>
        </w:rPr>
        <w:t>5.4 预警发布、调整与解除</w:t>
      </w:r>
      <w:bookmarkEnd w:id="90028"/>
    </w:p>
    <w:p>
      <w:pPr>
        <w:spacing w:line="500" w:lineRule="exact" w:before="0" w:after="0"/>
        <w:ind w:firstLineChars="200"/>
        <w:jc w:val="left"/>
      </w:pPr>
      <w:r>
        <w:rPr>
          <w:rFonts w:ascii="Times New Roman" w:hAnsi="Times New Roman" w:eastAsia="宋体"/>
          <w:sz w:val="24"/>
        </w:rPr>
        <w:t>预警发布由安环部根据监控信息、报警信号及现场核实情况提出建议，报总指挥李某某批准后发布；紧急情况下，现场人员可直接向应急办公室主任张某某报告，由张某某报总指挥后先行发布预警并通知各应急小组。预警发布内容包括预警级别、事发风险单元、可能影响范围、应采取的防护与处置措施及发布人。预警调整由安环部根据事态发展、监测数据及处置进展提出升级或降级建议，报总指挥批准后执行；当泄漏源得到控制、监测浓度持续下降、事故废水得到有效拦截且无次生风险时，可逐级降低预警级别。预警解除由环境监测组依据应急监测方案监测结果提出，确认厂区废水总排口、雨水总排口、事故应急池、废气排气筒及厂界下风向100米监测数据恢复正常，经安环部核实、总指挥李某某批准后宣布解除，并通过原发布渠道通知各应急小组和相关部门。预警发布、调整与解除的全过程记录由应急办公室主任张某某负责归档，作为预案演练与修订依据。</w:t>
      </w:r>
    </w:p>
    <w:p>
      <w:pPr>
        <w:pStyle w:val="Heading1"/>
        <w:spacing w:line="500" w:lineRule="exact" w:before="0" w:after="0"/>
        <w:jc w:val="left"/>
        <w:outlineLvl w:val="0"/>
      </w:pPr>
      <w:bookmarkStart w:id="90029" w:name="_Toc90029"/>
      <w:r>
        <w:rPr>
          <w:rFonts w:ascii="Times New Roman" w:hAnsi="Times New Roman" w:eastAsia="宋体"/>
          <w:sz w:val="30"/>
          <w:b/>
        </w:rPr>
        <w:t>6 应急处置</w:t>
      </w:r>
      <w:bookmarkEnd w:id="90029"/>
    </w:p>
    <w:p>
      <w:pPr>
        <w:pStyle w:val="Heading2"/>
        <w:spacing w:line="500" w:lineRule="exact" w:before="0" w:after="0"/>
        <w:jc w:val="left"/>
        <w:outlineLvl w:val="1"/>
      </w:pPr>
      <w:bookmarkStart w:id="90030" w:name="_Toc90030"/>
      <w:r>
        <w:rPr>
          <w:rFonts w:ascii="Times New Roman" w:hAnsi="Times New Roman" w:eastAsia="宋体"/>
          <w:sz w:val="28"/>
          <w:b/>
        </w:rPr>
        <w:t>6.1 应急响应</w:t>
      </w:r>
      <w:bookmarkEnd w:id="90030"/>
    </w:p>
    <w:p>
      <w:pPr>
        <w:spacing w:line="500" w:lineRule="exact" w:before="0" w:after="0"/>
        <w:ind w:firstLineChars="200"/>
        <w:jc w:val="left"/>
      </w:pPr>
      <w:r>
        <w:rPr>
          <w:rFonts w:ascii="Times New Roman" w:hAnsi="Times New Roman" w:eastAsia="宋体"/>
          <w:sz w:val="24"/>
        </w:rPr>
        <w:t>本企业环境风险等级为重大级，应急响应实行Ⅰ级、Ⅱ级、Ⅲ级三级分级管理。Ⅲ级响应适用于泄漏量小、未出厂界、单一岗位可控制的初起事故，由当班班长报应急办公室主任张某某后启动，抢险救援组、环境监测组到场处置。Ⅱ级响应适用于泄漏或火灾超出单一岗位控制能力、可能影响厂界外环境的情形，由应急办公室主任报副总指挥王某某、总指挥李某某后启动，各应急小组按职责分工到位，实施区域警戒与污染拦截。Ⅰ级响应适用于硫酸、甲醇等大量泄漏、火灾爆炸或已影响王家村、某河等周边环境风险受体的情形，由总指挥李某某宣布启动，全厂进入应急状态，并向属地应急管理部门报告、请求外部支援。响应程序为接警与确认、先期处置、分级启动、资源调配、扩大响应、响应降级与终止；启动后由应急办公室统一记录响应时间、指令内容与执行情况，各小组组长向总指挥报告进展，事态扩大时及时升级响应级别。</w:t>
      </w:r>
    </w:p>
    <w:p>
      <w:pPr>
        <w:keepNext w:val="true"/>
        <w:spacing w:line="500" w:lineRule="exact" w:before="0" w:after="0"/>
        <w:jc w:val="center"/>
      </w:pPr>
      <w:r>
        <w:rPr>
          <w:rFonts w:ascii="宋体" w:hAnsi="宋体" w:eastAsia="宋体"/>
          <w:sz w:val="24"/>
          <w:b/>
        </w:rPr>
        <w:t>表6-1 应急响应分级及响应行动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336"/>
        <w:gridCol w:w="3083"/>
        <w:gridCol w:w="3802"/>
      </w:tblGrid>
      <w:tr>
        <w:trPr>
          <w:cantSplit w:val="true"/>
          <w:trHeight w:val="320" w:hRule="atLeast"/>
          <w:tblHeader w:val="true"/>
        </w:trPr>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响应级别</w:t>
            </w:r>
          </w:p>
        </w:tc>
        <w:tc>
          <w:tcPr>
            <w:tcW w:w="30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启动条件</w:t>
            </w:r>
          </w:p>
        </w:tc>
        <w:tc>
          <w:tcPr>
            <w:tcW w:w="38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响应行动</w:t>
            </w:r>
          </w:p>
        </w:tc>
      </w:tr>
      <w:tr>
        <w:trPr>
          <w:cantSplit w:val="true"/>
          <w:trHeight w:val="320" w:hRule="atLeast"/>
        </w:trPr>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Ⅰ级（社会级）</w:t>
            </w:r>
          </w:p>
        </w:tc>
        <w:tc>
          <w:tcPr>
            <w:tcW w:w="30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污染物已排出厂界并影响周边环境风险受体，或超出本单位处置能力</w:t>
            </w:r>
          </w:p>
        </w:tc>
        <w:tc>
          <w:tcPr>
            <w:tcW w:w="38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立即报告属地生态环境主管部门，请求政府启动上级应急预案，本单位全力配合</w:t>
            </w:r>
          </w:p>
        </w:tc>
      </w:tr>
      <w:tr>
        <w:trPr>
          <w:cantSplit w:val="true"/>
          <w:trHeight w:val="320" w:hRule="atLeast"/>
        </w:trPr>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Ⅱ级（厂区级）</w:t>
            </w:r>
          </w:p>
        </w:tc>
        <w:tc>
          <w:tcPr>
            <w:tcW w:w="30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污染物尚未排出厂界，但已超出单个车间处置能力</w:t>
            </w:r>
          </w:p>
        </w:tc>
        <w:tc>
          <w:tcPr>
            <w:tcW w:w="38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启动本预案，由应急指挥部统一指挥各应急小组协同处置</w:t>
            </w:r>
          </w:p>
        </w:tc>
      </w:tr>
      <w:tr>
        <w:trPr>
          <w:cantSplit w:val="true"/>
          <w:trHeight w:val="320" w:hRule="atLeast"/>
        </w:trPr>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Ⅲ级（车间级）</w:t>
            </w:r>
          </w:p>
        </w:tc>
        <w:tc>
          <w:tcPr>
            <w:tcW w:w="308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污染物局限在单个车间或单个风险单元内，可自行控制</w:t>
            </w:r>
          </w:p>
        </w:tc>
        <w:tc>
          <w:tcPr>
            <w:tcW w:w="380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由车间负责人组织现场处置，同时报应急办公室</w:t>
            </w:r>
          </w:p>
        </w:tc>
      </w:tr>
    </w:tbl>
    <w:p>
      <w:pPr>
        <w:pStyle w:val="Heading2"/>
        <w:spacing w:line="500" w:lineRule="exact" w:before="0" w:after="0"/>
        <w:jc w:val="left"/>
        <w:outlineLvl w:val="1"/>
      </w:pPr>
      <w:bookmarkStart w:id="90031" w:name="_Toc90031"/>
      <w:r>
        <w:rPr>
          <w:rFonts w:ascii="Times New Roman" w:hAnsi="Times New Roman" w:eastAsia="宋体"/>
          <w:sz w:val="28"/>
          <w:b/>
        </w:rPr>
        <w:t>6.2 应急措施</w:t>
      </w:r>
      <w:bookmarkEnd w:id="90031"/>
    </w:p>
    <w:p>
      <w:pPr>
        <w:spacing w:line="500" w:lineRule="exact" w:before="0" w:after="0"/>
        <w:ind w:firstLineChars="200"/>
        <w:jc w:val="left"/>
      </w:pPr>
      <w:r>
        <w:rPr>
          <w:rFonts w:ascii="Times New Roman" w:hAnsi="Times New Roman" w:eastAsia="宋体"/>
          <w:sz w:val="24"/>
        </w:rPr>
        <w:t>针对储罐区硫酸、盐酸、甲醇泄漏情景，发现人立即报警并切断相关发料泵与装卸鹤管，关闭事故水总排口切换阀，将泄漏物导入事故应急池；抢险救援组刘某某组织人员穿戴防酸碱防护服、化学防护手套、护目镜，使用堵漏胶、堵漏夹具、木楔实施堵漏，用沙袋围堵、吸油毡与吸油围栏拦截，酸碱中和药剂（石灰、碳酸钠）用于中和酸性泄漏物，应急转运桶收集废液后交有资质单位处置。针对甲醇池火与蒸气云爆炸情景，立即切断物料来源，使用干粉灭火器、推车式干粉/泡沫灭火器灭火，按热辐射25 kW/m²等值线10.5 m撤离并冷却相邻设备，12.5 kW/m²距离14.9 m组织疏散，4 kW/m²距离26.3 m设置警戒；蒸气云爆炸0.05 MPa距离62.7 m内紧急撤离，0.03 MPa距离84.5 m组织撤离，0.02 MPa距离109.6 m设置警戒下限。针对废气处理设施异常，停止投料并抢修活性炭吸附+UV光解装置。消防废水及事故废水全部收集进入200立方米事故应急池，经厂内废水预处理设施处理后排入园区污水处理厂，严禁未经处理外排。人员防护按泄漏物质选用正压式空气呼吸器、过滤式防毒面具、防酸碱防护服、化学防护手套与护目镜，洗眼器、应急喷淋装置供接触人员冲洗，便携式气体检测仪、便携式VOCs检测仪用于现场检测。</w:t>
      </w:r>
    </w:p>
    <w:p>
      <w:pPr>
        <w:pStyle w:val="Heading2"/>
        <w:spacing w:line="500" w:lineRule="exact" w:before="0" w:after="0"/>
        <w:jc w:val="left"/>
        <w:outlineLvl w:val="1"/>
      </w:pPr>
      <w:bookmarkStart w:id="90032" w:name="_Toc90032"/>
      <w:r>
        <w:rPr>
          <w:rFonts w:ascii="Times New Roman" w:hAnsi="Times New Roman" w:eastAsia="宋体"/>
          <w:sz w:val="28"/>
          <w:b/>
        </w:rPr>
        <w:t>6.3 疏散与撤离</w:t>
      </w:r>
      <w:bookmarkEnd w:id="90032"/>
    </w:p>
    <w:p>
      <w:pPr>
        <w:spacing w:line="500" w:lineRule="exact" w:before="0" w:after="0"/>
        <w:ind w:firstLineChars="200"/>
        <w:jc w:val="left"/>
      </w:pPr>
      <w:r>
        <w:rPr>
          <w:rFonts w:ascii="Times New Roman" w:hAnsi="Times New Roman" w:eastAsia="宋体"/>
          <w:sz w:val="24"/>
        </w:rPr>
        <w:t>应急疏散由警戒疏散组组长陈某某负责组织，依据事故情景划定疏散范围：硫酸泄漏下风向浓度降至车间最高允许浓度2.0000 mg/m³以内的距离约740 m，该范围内作业人员应佩戴个体防护用品并视情撤离；甲醇池火12.5 kW/m²距离14.9 m内组织疏散，蒸气云爆炸0.05 MPa距离62.7 m内紧急撤离、0.03 MPa距离84.5 m内组织撤离。疏散路线由各车间向厂区北侧应急集合点（远离储罐区上风向）集中，避开储罐区、危废暂存间及下风向区域；警戒疏散组使用应急照明灯、警示带、警示牌封闭事故区域周边道路，引导人员有序撤离，禁止无关人员进入。人员到达集合点后，由各部门负责人按当班名册清点人数，将清点结果报警戒疏散组汇总，并报应急办公室；发现人员未到齐时立即报告总指挥，由抢险救援组在确保防护条件下搜救。涉及王家村等周边受体需疏散时，由应急办公室报属地应急管理部门，配合属地政府组织。</w:t>
      </w:r>
    </w:p>
    <w:p>
      <w:pPr>
        <w:pStyle w:val="Heading2"/>
        <w:spacing w:line="500" w:lineRule="exact" w:before="0" w:after="0"/>
        <w:jc w:val="left"/>
        <w:outlineLvl w:val="1"/>
      </w:pPr>
      <w:bookmarkStart w:id="90033" w:name="_Toc90033"/>
      <w:r>
        <w:rPr>
          <w:rFonts w:ascii="Times New Roman" w:hAnsi="Times New Roman" w:eastAsia="宋体"/>
          <w:sz w:val="28"/>
          <w:b/>
        </w:rPr>
        <w:t>6.4 监测通讯</w:t>
      </w:r>
      <w:bookmarkEnd w:id="90033"/>
    </w:p>
    <w:p>
      <w:pPr>
        <w:spacing w:line="500" w:lineRule="exact" w:before="0" w:after="0"/>
        <w:ind w:firstLineChars="200"/>
        <w:jc w:val="left"/>
      </w:pPr>
      <w:r>
        <w:rPr>
          <w:rFonts w:ascii="Times New Roman" w:hAnsi="Times New Roman" w:eastAsia="宋体"/>
          <w:sz w:val="24"/>
        </w:rPr>
        <w:t>应急监测由环境监测组组长周某某负责，委托泰安市某检测有限公司实施。监测项目为pH、COD、氨氮、总磷、氯化物、硫酸盐、非甲烷总烃、氯化氢、氨、颗粒物；监测点位为厂区废水总排口、雨水总排口、事故应急池、废气排气筒、厂界下风向100米；监测频次为事故初期每1小时1次，事态稳定后每4小时1次，直至恢复正常。现场监测人员应佩戴过滤式防毒面具、化学防护手套、护目镜等个体防护用品，使用便携式气体检测仪、便携式VOCs检测仪进行快速筛查，监测数据及时报应急办公室，作为响应升级、降级与终止的依据。通讯保障方面，应急办公室张某某负责保持与总指挥李某某、副总指挥王某某及各组组长的联络，各应急人员电话保持24小时畅通；对外报告与求援由应急办公室统一实施，属地应急管理部门电话0538-866XXXX，协作医疗机构为泰安市某医院，外部救援单位名称及联系电话为</w:t>
      </w:r>
      <w:r>
        <w:rPr>
          <w:rFonts w:ascii="Times New Roman" w:hAnsi="Times New Roman" w:eastAsia="宋体"/>
          <w:sz w:val="24"/>
          <w:color w:val="C00000"/>
        </w:rPr>
        <w:t>【待用户填：外部救援单位名称及联系电话】</w:t>
      </w:r>
      <w:r>
        <w:rPr>
          <w:rFonts w:ascii="Times New Roman" w:hAnsi="Times New Roman" w:eastAsia="宋体"/>
          <w:sz w:val="24"/>
        </w:rPr>
        <w:t>。</w:t>
      </w:r>
    </w:p>
    <w:p>
      <w:pPr>
        <w:pStyle w:val="Heading2"/>
        <w:spacing w:line="500" w:lineRule="exact" w:before="0" w:after="0"/>
        <w:jc w:val="left"/>
        <w:outlineLvl w:val="1"/>
      </w:pPr>
      <w:bookmarkStart w:id="90034" w:name="_Toc90034"/>
      <w:r>
        <w:rPr>
          <w:rFonts w:ascii="Times New Roman" w:hAnsi="Times New Roman" w:eastAsia="宋体"/>
          <w:sz w:val="28"/>
          <w:b/>
        </w:rPr>
        <w:t>6.5 应急终止</w:t>
      </w:r>
      <w:bookmarkEnd w:id="90034"/>
    </w:p>
    <w:p>
      <w:pPr>
        <w:spacing w:line="500" w:lineRule="exact" w:before="0" w:after="0"/>
        <w:ind w:firstLineChars="200"/>
        <w:jc w:val="left"/>
      </w:pPr>
      <w:r>
        <w:rPr>
          <w:rFonts w:ascii="Times New Roman" w:hAnsi="Times New Roman" w:eastAsia="宋体"/>
          <w:sz w:val="24"/>
        </w:rPr>
        <w:t>应急终止应同时满足以下条件：泄漏源已切断并完成堵漏，事故废水与消防废水全部收集进入事故应急池，污染物浓度监测结果连续稳定并满足相应排放要求，火灾或爆炸风险已消除，受伤人员得到救治，周边环境风险受体影响已解除。终止程序为：环境监测组提交监测数据与评估意见，抢险救援组确认现场无残余风险，应急办公室汇总后报总指挥李某某审定；经总指挥批准后宣布应急终止，各应急小组有序撤除警戒、恢复生产，并继续对事故应急池废水、厂区废水总排口、雨水总排口开展跟踪监测。应急终止后，由应急办公室组织对响应过程、处置措施、物资消耗与人员防护情况进行总结评估，形成书面记录并归档，对暴露的问题纳入环境风险防控措施完善实施计划予以整改。</w:t>
      </w:r>
    </w:p>
    <w:p>
      <w:pPr>
        <w:pStyle w:val="Heading2"/>
        <w:spacing w:line="500" w:lineRule="exact" w:before="0" w:after="0"/>
        <w:jc w:val="left"/>
        <w:outlineLvl w:val="1"/>
      </w:pPr>
      <w:bookmarkStart w:id="90035" w:name="_Toc90035"/>
      <w:r>
        <w:rPr>
          <w:rFonts w:ascii="Times New Roman" w:hAnsi="Times New Roman" w:eastAsia="宋体"/>
          <w:sz w:val="28"/>
          <w:b/>
        </w:rPr>
        <w:t>6.6 信息报告与发布</w:t>
      </w:r>
      <w:bookmarkEnd w:id="90035"/>
    </w:p>
    <w:p>
      <w:pPr>
        <w:spacing w:line="500" w:lineRule="exact" w:before="0" w:after="0"/>
        <w:ind w:firstLineChars="200"/>
        <w:jc w:val="left"/>
      </w:pPr>
      <w:r>
        <w:rPr>
          <w:rFonts w:ascii="Times New Roman" w:hAnsi="Times New Roman" w:eastAsia="宋体"/>
          <w:sz w:val="24"/>
        </w:rPr>
        <w:t>信息报告实行首报、续报与总结报告制度。事故发现人应立即报告当班班长和应急办公室张某某，应急办公室核实后按响应级别报告副总指挥王某某、总指挥李某某；发生Ⅱ级及以上响应或可能影响厂界外环境的事故，由应急办公室在第一时间向属地应急管理部门报告，属地应急管理部门电话0538-866XXXX，并视情通报园区管委会及可能受影响的王家村。报告内容包括事故发生时间、地点、事故类型、涉及物质（硫酸、盐酸、甲醇、二甲苯、乙酸乙酯、氨水、次氯酸钠、硫化氢等）、已采取的措施、人员伤亡与周边环境影响情况、需要支援的事项。信息发布由应急办公室统一负责，任何个人不得擅自对外发布事故信息；对外发布内容应经总指挥审定，做到及时、准确、客观，并根据事态发展做好续报与舆情应对。</w:t>
      </w:r>
    </w:p>
    <w:p>
      <w:pPr>
        <w:pStyle w:val="Heading1"/>
        <w:spacing w:line="500" w:lineRule="exact" w:before="0" w:after="0"/>
        <w:jc w:val="left"/>
        <w:outlineLvl w:val="0"/>
      </w:pPr>
      <w:bookmarkStart w:id="90036" w:name="_Toc90036"/>
      <w:r>
        <w:rPr>
          <w:rFonts w:ascii="Times New Roman" w:hAnsi="Times New Roman" w:eastAsia="宋体"/>
          <w:sz w:val="30"/>
          <w:b/>
        </w:rPr>
        <w:t>7 后期处置</w:t>
      </w:r>
      <w:bookmarkEnd w:id="90036"/>
    </w:p>
    <w:p>
      <w:pPr>
        <w:pStyle w:val="Heading2"/>
        <w:spacing w:line="500" w:lineRule="exact" w:before="0" w:after="0"/>
        <w:jc w:val="left"/>
        <w:outlineLvl w:val="1"/>
      </w:pPr>
      <w:bookmarkStart w:id="90037" w:name="_Toc90037"/>
      <w:r>
        <w:rPr>
          <w:rFonts w:ascii="Times New Roman" w:hAnsi="Times New Roman" w:eastAsia="宋体"/>
          <w:sz w:val="28"/>
          <w:b/>
        </w:rPr>
        <w:t>7.1 善后处置与恢复重建</w:t>
      </w:r>
      <w:bookmarkEnd w:id="90037"/>
    </w:p>
    <w:p>
      <w:pPr>
        <w:spacing w:line="500" w:lineRule="exact" w:before="0" w:after="0"/>
        <w:ind w:firstLineChars="200"/>
        <w:jc w:val="left"/>
      </w:pPr>
      <w:r>
        <w:rPr>
          <w:rFonts w:ascii="Times New Roman" w:hAnsi="Times New Roman" w:eastAsia="宋体"/>
          <w:sz w:val="24"/>
        </w:rPr>
        <w:t>事故得到控制、泄漏源被消除后，由应急指挥部总指挥李某某宣布终止应急状态，转入后期处置阶段。善后处置与恢复重建工作由副总指挥王某某牵头，应急办公室主任张某某负责协调，后勤保障组组长孙某某、抢险救援组组长刘某某及各车间负责人参加。首先对事故现场及周边受污染区域进行清理，对泄漏的硫酸等物料及消防废水、冲洗水进行收集，依托厂内事故应急池（200立方米）、初期雨水收集池（120立方米）及事故水总排口切换阀，将事故废水导入厂内废水预处理设施处理，经预处理后排入园区污水处理厂，严禁未经处理直接外排。对泄漏区域地面、围堰及防火堤内残留物使用酸碱中和药剂（石灰、碳酸钠）进行中和处理，中和产物及吸附废物按危险废物分类收集，暂存于危废暂存间（80平方米），委托泰安某危废处置有限公司处置。对受损的反应釜、蒸馏塔、冷凝器、离心机、干燥机、储罐及装卸鹤管等设备设施进行检修检测，经防雷防静电接地设施检测合格、可燃有毒气体泄漏报警装置校验正常后，方可恢复生产。对疏散至厂区北侧应急集合点的员工及周边王家村受影响居民做好安抚、医疗观察和必要的补偿工作，医疗救护组组长杨某某负责与泰安市某医院对接伤员后续治疗。恢复重建期间，环境监测组组长周某某组织对厂区废水总排口、雨水总排口、事故应急池、废气排气筒及厂界下风向100米继续开展监测，事故初期每1小时1次，事态稳定后每4小时1次，直至监测数据恢复正常。善后处置过程中应做好台账记录，对管理制度文本、演练记录及应急物资使用台账进一步规范完善。</w:t>
      </w:r>
    </w:p>
    <w:p>
      <w:pPr>
        <w:pStyle w:val="Heading2"/>
        <w:spacing w:line="500" w:lineRule="exact" w:before="0" w:after="0"/>
        <w:jc w:val="left"/>
        <w:outlineLvl w:val="1"/>
      </w:pPr>
      <w:bookmarkStart w:id="90038" w:name="_Toc90038"/>
      <w:r>
        <w:rPr>
          <w:rFonts w:ascii="Times New Roman" w:hAnsi="Times New Roman" w:eastAsia="宋体"/>
          <w:sz w:val="28"/>
          <w:b/>
        </w:rPr>
        <w:t>7.2 调查与评估</w:t>
      </w:r>
      <w:bookmarkEnd w:id="90038"/>
    </w:p>
    <w:p>
      <w:pPr>
        <w:spacing w:line="500" w:lineRule="exact" w:before="0" w:after="0"/>
        <w:ind w:firstLineChars="200"/>
        <w:jc w:val="left"/>
      </w:pPr>
      <w:r>
        <w:rPr>
          <w:rFonts w:ascii="Times New Roman" w:hAnsi="Times New Roman" w:eastAsia="宋体"/>
          <w:sz w:val="24"/>
        </w:rPr>
        <w:t>应急状态终止后，由应急指挥部组织成立事故调查组，总指挥李某某任组长，副总指挥王某某、应急办公室主任张某某及抢险救援组、环境监测组、后勤保障组相关人员参加，必要时配合属地应急管理部门开展调查。调查与评估应查明事件发生的经过、直接原因和间接原因，核实泄漏或事故源强，对照本次风险评估中硫酸泄漏源强（泄漏速率0.4760 kg/s、堵漏时间内泄漏总量428.4 kg）、蒸发源强（F类最不利蒸发速率0.00260 kg/s）、大气扩散预测结果（下风向浓度降至LC₅₀以内的距离约50 m、降至车间最高允许浓度以内的距离约740 m）、甲醇池火热辐射影响范围（25 kW/m²等值线距离10.5 m、12.5 kW/m²距离14.9 m、4 kW/m²距离26.3 m）及蒸气云爆炸影响范围（0.10 MPa距离43.7 m、0.05 MPa距离62.7 m、0.03 MPa距离84.5 m、0.02 MPa距离109.6 m）等计算结果，核实实际影响范围与预测是否一致。评估应急预案的针对性、可操作性，重点核查事故应急池（200立方米）有效容积是否满足V总=100.22 m³的要求、事故水总排口切换阀动作是否及时、可燃有毒气体泄漏报警装置是否有效报警、应急物资（吸油毡、吸油围栏、防酸碱防护服、正压式空气呼吸器、堵漏胶及堵漏夹具、酸碱中和药剂等）是否满足调用需要。调查结束后形成事故调查报告，内容包括事件概况、原因分析、损失评估、责任认定、整改措施及应急预案修订建议。针对调查中发现的不足，如管理制度文本尚未健全、演练记录有待留存、台账管理需进一步规范等，应明确整改责任人和完成时限，由应急办公室跟踪督办，并将整改情况纳入下一次应急演练和预案修订内容。涉及外部救援及监测协作的，应记录泰安市某检测有限公司的监测数据、泰安市某医院的医疗救治情况以及属地应急管理部门电话0538-866XXXX的联络过程，作为调查评估依据。</w:t>
      </w:r>
    </w:p>
    <w:p>
      <w:pPr>
        <w:pStyle w:val="Heading1"/>
        <w:spacing w:line="500" w:lineRule="exact" w:before="0" w:after="0"/>
        <w:jc w:val="left"/>
        <w:outlineLvl w:val="0"/>
      </w:pPr>
      <w:bookmarkStart w:id="90039" w:name="_Toc90039"/>
      <w:r>
        <w:rPr>
          <w:rFonts w:ascii="Times New Roman" w:hAnsi="Times New Roman" w:eastAsia="宋体"/>
          <w:sz w:val="30"/>
          <w:b/>
        </w:rPr>
        <w:t>8 应急保障</w:t>
      </w:r>
      <w:bookmarkEnd w:id="90039"/>
    </w:p>
    <w:p>
      <w:pPr>
        <w:pStyle w:val="Heading2"/>
        <w:spacing w:line="500" w:lineRule="exact" w:before="0" w:after="0"/>
        <w:jc w:val="left"/>
        <w:outlineLvl w:val="1"/>
      </w:pPr>
      <w:bookmarkStart w:id="90040" w:name="_Toc90040"/>
      <w:r>
        <w:rPr>
          <w:rFonts w:ascii="Times New Roman" w:hAnsi="Times New Roman" w:eastAsia="宋体"/>
          <w:sz w:val="28"/>
          <w:b/>
        </w:rPr>
        <w:t>8.1 应急队伍保障</w:t>
      </w:r>
      <w:bookmarkEnd w:id="90040"/>
    </w:p>
    <w:p>
      <w:pPr>
        <w:spacing w:line="500" w:lineRule="exact" w:before="0" w:after="0"/>
        <w:ind w:firstLineChars="200"/>
        <w:jc w:val="left"/>
      </w:pPr>
      <w:r>
        <w:rPr>
          <w:rFonts w:ascii="Times New Roman" w:hAnsi="Times New Roman" w:eastAsia="宋体"/>
          <w:sz w:val="24"/>
        </w:rPr>
        <w:t>公司设立突发环境事件应急指挥部，由总指挥李某某（电话13700000010）、副总指挥王某某（电话13700000011）统一领导，下设应急办公室及抢险救援组、警戒疏散组、医疗救护组、环境监测组、后勤保障组五个专业应急小组。应急办公室主任由张某某担任（电话13700000012），负责日常应急管理、信息报送与各组协调联动。抢险救援组组长刘某某（电话13700000013），承担泄漏封堵、事故水截流、设备关停等现场处置任务；警戒疏散组组长陈某某（电话13700000014），负责事故现场警戒、交通管制及人员向厂区北侧应急集合点疏散引导；医疗救护组组长杨某某（电话13700000015），负责伤员现场急救与转运衔接；环境监测组组长周某某（电话13700000002），负责配合泰安市某检测有限公司开展应急监测；后勤保障组组长孙某某（电话13700000001），负责应急物资调运与后勤供给。各小组实行24小时值班待命，接到预警后按预案分工迅速到位。尚需进一步完善的是，各岗位应急职责文本尚未系统成文，应急队伍人员名册与培训档案有待健全，应结合演练情况定期更新并留存记录，确保应急队伍始终处于有效响应状态。</w:t>
      </w:r>
    </w:p>
    <w:p>
      <w:pPr>
        <w:pStyle w:val="Heading2"/>
        <w:spacing w:line="500" w:lineRule="exact" w:before="0" w:after="0"/>
        <w:jc w:val="left"/>
        <w:outlineLvl w:val="1"/>
      </w:pPr>
      <w:bookmarkStart w:id="90041" w:name="_Toc90041"/>
      <w:r>
        <w:rPr>
          <w:rFonts w:ascii="Times New Roman" w:hAnsi="Times New Roman" w:eastAsia="宋体"/>
          <w:sz w:val="28"/>
          <w:b/>
        </w:rPr>
        <w:t>8.2 资金保障</w:t>
      </w:r>
      <w:bookmarkEnd w:id="90041"/>
    </w:p>
    <w:p>
      <w:pPr>
        <w:spacing w:line="500" w:lineRule="exact" w:before="0" w:after="0"/>
        <w:ind w:firstLineChars="200"/>
        <w:jc w:val="left"/>
      </w:pPr>
      <w:r>
        <w:rPr>
          <w:rFonts w:ascii="Times New Roman" w:hAnsi="Times New Roman" w:eastAsia="宋体"/>
          <w:sz w:val="24"/>
        </w:rPr>
        <w:t>公司应将突发环境事件应急所需经费纳入年度预算，专项用于应急物资采购与更新、应急设施维护、应急演练组织、应急培训及事故处置等支出。应急物资库内吸油毡、吸油围栏、防酸碱防护服、正压式空气呼吸器、堵漏胶及堵漏夹具、酸碱中和药剂等物资的补充、更换费用由后勤保障组组长孙某某（电话13700000001）提出计划，经应急办公室主任张某某（电话13700000012）审核后报总指挥李某某（电话13700000010）批准列支。事故应急池（200立方米）、初期雨水收集池（120立方米）、事故水总排口切换阀等环境应急设施以及可燃有毒气体泄漏报警装置的日常维护、检测费用应单独列项，保障其随时处于可用状态。发生突发环境事件时，应急资金应优先保障抢险救援、应急监测和人员防护需要，确保资金及时到位。目前应急资金管理制度文本尚未健全，专项经费台账与使用记录有待规范，应进一步明确审批流程和保障额度，确保应急资金专款专用、有据可查。</w:t>
      </w:r>
    </w:p>
    <w:p>
      <w:pPr>
        <w:pStyle w:val="Heading2"/>
        <w:spacing w:line="500" w:lineRule="exact" w:before="0" w:after="0"/>
        <w:jc w:val="left"/>
        <w:outlineLvl w:val="1"/>
      </w:pPr>
      <w:bookmarkStart w:id="90042" w:name="_Toc90042"/>
      <w:r>
        <w:rPr>
          <w:rFonts w:ascii="Times New Roman" w:hAnsi="Times New Roman" w:eastAsia="宋体"/>
          <w:sz w:val="28"/>
          <w:b/>
        </w:rPr>
        <w:t>8.3 通讯与信息保障</w:t>
      </w:r>
      <w:bookmarkEnd w:id="90042"/>
    </w:p>
    <w:p>
      <w:pPr>
        <w:spacing w:line="500" w:lineRule="exact" w:before="0" w:after="0"/>
        <w:ind w:firstLineChars="200"/>
        <w:jc w:val="left"/>
      </w:pPr>
      <w:r>
        <w:rPr>
          <w:rFonts w:ascii="Times New Roman" w:hAnsi="Times New Roman" w:eastAsia="宋体"/>
          <w:sz w:val="24"/>
        </w:rPr>
        <w:t>公司建立应急通讯与信息保障机制，应急指挥部成员及各应急小组组长手机保持24小时开机，确保事故状态下指令传递畅通。总指挥李某某（电话13700000010）、副总指挥王某某（电话13700000011）、应急办公室主任张某某（电话13700000012）及各组组长刘某某（电话13700000013）、陈某某（电话13700000014）、杨某某（电话13700000015）、周某某（电话13700000002）、孙某某（电话13700000001）的联系方式应在应急值班室和应急物资库张贴明示，并定期核对更新。发生突发环境事件时，由应急办公室统一负责信息收集、报告与对外联络，按规定向属地应急管理部门（电话0538-866XXXX）报告，并做好与协作医疗机构泰安市某医院的联络衔接。外部救援单位名称及联系电话为</w:t>
      </w:r>
      <w:r>
        <w:rPr>
          <w:rFonts w:ascii="Times New Roman" w:hAnsi="Times New Roman" w:eastAsia="宋体"/>
          <w:sz w:val="24"/>
          <w:color w:val="C00000"/>
        </w:rPr>
        <w:t>【待用户填：外部救援单位名称及联系电话】</w:t>
      </w:r>
      <w:r>
        <w:rPr>
          <w:rFonts w:ascii="Times New Roman" w:hAnsi="Times New Roman" w:eastAsia="宋体"/>
          <w:sz w:val="24"/>
        </w:rPr>
        <w:t>。现场应急通讯应配备应急照明灯、警示带、警示牌等成套器材，保障夜间及断电情况下警戒与联络需要。尚需完善的是，应急通讯录更新制度尚未成文，备用通讯手段和断电情况下的信息传递措施有待进一步明确，应定期组织通讯联络测试并留存记录。</w:t>
      </w:r>
    </w:p>
    <w:p>
      <w:pPr>
        <w:pStyle w:val="Heading2"/>
        <w:spacing w:line="500" w:lineRule="exact" w:before="0" w:after="0"/>
        <w:jc w:val="left"/>
        <w:outlineLvl w:val="1"/>
      </w:pPr>
      <w:bookmarkStart w:id="90043" w:name="_Toc90043"/>
      <w:r>
        <w:rPr>
          <w:rFonts w:ascii="Times New Roman" w:hAnsi="Times New Roman" w:eastAsia="宋体"/>
          <w:sz w:val="28"/>
          <w:b/>
        </w:rPr>
        <w:t>8.4 应急物资储备保障</w:t>
      </w:r>
      <w:bookmarkEnd w:id="90043"/>
    </w:p>
    <w:p>
      <w:pPr>
        <w:spacing w:line="500" w:lineRule="exact" w:before="0" w:after="0"/>
        <w:ind w:firstLineChars="200"/>
        <w:jc w:val="left"/>
      </w:pPr>
      <w:r>
        <w:rPr>
          <w:rFonts w:ascii="Times New Roman" w:hAnsi="Times New Roman" w:eastAsia="宋体"/>
          <w:sz w:val="24"/>
        </w:rPr>
        <w:t>公司设置应急物资库、应急器材柜、车间应急柜及安环部等存放点，储备的应急物资包括：吸油毡400×500mm共200张、吸油围栏（拦油索）直径200mm×10m共4条、防酸碱防护服全封闭6套、正压式空气呼吸器6.8L/30MPa共4套、过滤式防毒面具（含滤毒盒）A/B/E/K组合20套、化学防护手套及护目镜耐酸碱20套、堵漏胶及堵漏夹具和木楔成套2套、干粉灭火器4kg共40只、推车式干粉/泡沫灭火器35kg共6只、酸碱中和药剂（石灰、碳酸钠）袋装2吨、便携式气体检测仪四合一（O2/LEL/H2S/CO）4台、便携式VOCs检测仪（PID）2台、应急照明灯及警示带和警示牌成套10套、应急转运桶及沙袋200L/50kg共20个和200条、洗眼器及应急喷淋装置固定式6处。应急物资库、应急器材柜物资由孙某某（电话13700000001）管理，车间应急柜及储罐区、危废暂存间消防器材由周某某（电话13700000002）管理。后勤保障组负责物资的日常检查、维护保养和及时补充，确保吸油毡、吸油围栏、堵漏器材、中和药剂等处于有效可用状态，正压式空气呼吸器气瓶压力、便携式气体检测仪和VOCs检测仪电量及标定状态定期核查。尚需完善的是，应急物资台账和出入库记录有待规范，物资定期检查周期和报废更新制度尚未成文，应结合演练和实际消耗情况动态补充，保障事故状态下物资调得出、用得上。</w:t>
      </w:r>
    </w:p>
    <w:p>
      <w:pPr>
        <w:keepNext w:val="true"/>
        <w:spacing w:line="500" w:lineRule="exact" w:before="0" w:after="0"/>
        <w:jc w:val="center"/>
      </w:pPr>
      <w:r>
        <w:rPr>
          <w:rFonts w:ascii="宋体" w:hAnsi="宋体" w:eastAsia="宋体"/>
          <w:sz w:val="24"/>
          <w:b/>
        </w:rPr>
        <w:t>表8-1 环境应急物资储备清单</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510"/>
        <w:gridCol w:w="1361"/>
        <w:gridCol w:w="1474"/>
        <w:gridCol w:w="850"/>
        <w:gridCol w:w="1304"/>
        <w:gridCol w:w="1077"/>
        <w:gridCol w:w="1644"/>
      </w:tblGrid>
      <w:tr>
        <w:trPr>
          <w:cantSplit w:val="true"/>
          <w:trHeight w:val="320" w:hRule="atLeast"/>
          <w:tblHeader w:val="true"/>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物资名称</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规格型号</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数量</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存放地点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责任人</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联系电话</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吸油毡</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400×500mm</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200张</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吸油围栏（拦油索）</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直径200mm×10m</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4条</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防酸碱防护服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全封闭</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正压式空气呼吸器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6.8L/30MPa</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应急器材柜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过滤式防毒面具（含滤毒盒）</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A/B/E/K 组合</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应急器材柜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化学防护手套、护目镜</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耐酸碱</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车间应急柜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堵漏胶、堵漏夹具、木楔</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成套</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干粉灭火器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40只</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各车间及储罐区</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推车式干粉/泡沫灭火器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35kg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6只</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储罐区、危废暂存间</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酸碱中和药剂（石灰、碳酸钠）</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袋装</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2吨</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便携式气体检测仪</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四合一（O2/LEL/H2S/CO）</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4台</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安环部</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便携式VOCs检测仪</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PID</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2台</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安环部</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应急照明灯、警示带、警示牌</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成套</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应急转运桶、沙袋</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200L/50kg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20个/200条</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洗眼器、应急喷淋装置</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固定式</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6处</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车间、储罐区</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bl>
    <w:p>
      <w:pPr>
        <w:pStyle w:val="Heading2"/>
        <w:spacing w:line="500" w:lineRule="exact" w:before="0" w:after="0"/>
        <w:jc w:val="left"/>
        <w:outlineLvl w:val="1"/>
      </w:pPr>
      <w:bookmarkStart w:id="90044" w:name="_Toc90044"/>
      <w:r>
        <w:rPr>
          <w:rFonts w:ascii="Times New Roman" w:hAnsi="Times New Roman" w:eastAsia="宋体"/>
          <w:sz w:val="28"/>
          <w:b/>
        </w:rPr>
        <w:t>8.5 其它保障</w:t>
      </w:r>
      <w:bookmarkEnd w:id="90044"/>
    </w:p>
    <w:p>
      <w:pPr>
        <w:spacing w:line="500" w:lineRule="exact" w:before="0" w:after="0"/>
        <w:ind w:firstLineChars="200"/>
        <w:jc w:val="left"/>
      </w:pPr>
      <w:r>
        <w:rPr>
          <w:rFonts w:ascii="Times New Roman" w:hAnsi="Times New Roman" w:eastAsia="宋体"/>
          <w:sz w:val="24"/>
        </w:rPr>
        <w:t>交通运输保障方面，公司应保持厂区道路畅通，确保应急车辆、消防车辆及物资运输车辆能够快速进出；事故状态下由警戒疏散组组长陈某某（电话13700000014）负责现场交通管制，引导人员沿安全路线疏散至厂区北侧应急集合点，并保障抢险救援通道不被占用。治安保障方面，由警戒疏散组负责事故现场警戒，设置警示带和警示牌，禁止无关人员进入，维护现场秩序，防止次生事故和人员伤亡。医疗救护保障方面，医疗救护组组长杨某某（电话13700000015）负责现场伤员急救和转运，协作医疗机构为泰安市某医院，其联系电话为</w:t>
      </w:r>
      <w:r>
        <w:rPr>
          <w:rFonts w:ascii="Times New Roman" w:hAnsi="Times New Roman" w:eastAsia="宋体"/>
          <w:sz w:val="24"/>
          <w:color w:val="C00000"/>
        </w:rPr>
        <w:t>【待用户填：该机构联系电话】</w:t>
      </w:r>
      <w:r>
        <w:rPr>
          <w:rFonts w:ascii="Times New Roman" w:hAnsi="Times New Roman" w:eastAsia="宋体"/>
          <w:sz w:val="24"/>
        </w:rPr>
        <w:t>；现场配备洗眼器及应急喷淋装置6处，用于酸碱灼伤等事故的初步冲洗处置。外部救援单位名称及联系电话为</w:t>
      </w:r>
      <w:r>
        <w:rPr>
          <w:rFonts w:ascii="Times New Roman" w:hAnsi="Times New Roman" w:eastAsia="宋体"/>
          <w:sz w:val="24"/>
          <w:color w:val="C00000"/>
        </w:rPr>
        <w:t>【待用户填：外部救援单位名称及联系电话】</w:t>
      </w:r>
      <w:r>
        <w:rPr>
          <w:rFonts w:ascii="Times New Roman" w:hAnsi="Times New Roman" w:eastAsia="宋体"/>
          <w:sz w:val="24"/>
        </w:rPr>
        <w:t>。此外，应做好应急期间的后勤供给、电力保障和气象信息获取等工作。尚需完善的是，交通运输、治安和医疗救护的联动机制文本尚未健全，与协作医疗机构的衔接协议及演练记录有待补充完善，应进一步明确各方职责和响应流程。</w:t>
      </w:r>
    </w:p>
    <w:p>
      <w:pPr>
        <w:pStyle w:val="Heading1"/>
        <w:spacing w:line="500" w:lineRule="exact" w:before="0" w:after="0"/>
        <w:jc w:val="left"/>
        <w:outlineLvl w:val="0"/>
      </w:pPr>
      <w:bookmarkStart w:id="90045" w:name="_Toc90045"/>
      <w:r>
        <w:rPr>
          <w:rFonts w:ascii="Times New Roman" w:hAnsi="Times New Roman" w:eastAsia="宋体"/>
          <w:sz w:val="30"/>
          <w:b/>
        </w:rPr>
        <w:t>9 监督管理</w:t>
      </w:r>
      <w:bookmarkEnd w:id="90045"/>
    </w:p>
    <w:p>
      <w:pPr>
        <w:pStyle w:val="Heading2"/>
        <w:spacing w:line="500" w:lineRule="exact" w:before="0" w:after="0"/>
        <w:jc w:val="left"/>
        <w:outlineLvl w:val="1"/>
      </w:pPr>
      <w:bookmarkStart w:id="90046" w:name="_Toc90046"/>
      <w:r>
        <w:rPr>
          <w:rFonts w:ascii="Times New Roman" w:hAnsi="Times New Roman" w:eastAsia="宋体"/>
          <w:sz w:val="28"/>
          <w:b/>
        </w:rPr>
        <w:t>9.1 培训与演练</w:t>
      </w:r>
      <w:bookmarkEnd w:id="90046"/>
    </w:p>
    <w:p>
      <w:pPr>
        <w:spacing w:line="500" w:lineRule="exact" w:before="0" w:after="0"/>
        <w:ind w:firstLineChars="200"/>
        <w:jc w:val="left"/>
      </w:pPr>
      <w:r>
        <w:rPr>
          <w:rFonts w:ascii="Times New Roman" w:hAnsi="Times New Roman" w:eastAsia="宋体"/>
          <w:sz w:val="24"/>
        </w:rPr>
        <w:t>公司应建立应急培训与演练制度，由应急办公室牵头组织，安环部配合实施，全体从业人员参加。培训内容应结合本企业盐酸、硫酸、甲醇、二甲苯、乙酸乙酯、氨水、次氯酸钠、硫化氢等环境风险物质特性，以及反应釜、蒸馏塔、盐酸储罐、硫酸储罐、甲醇储罐、装卸鹤管及发料泵、活性炭吸附+UV光解废气处理装置、事故应急池、初期雨水收集池、危废暂存间、事故水总排口切换阀等设施的操作与应急要求，重点培训事故应急池与初期雨水收集池的启用、事故水总排口切换阀的操作、可燃有毒气体泄漏报警装置的响应、人员疏散至厂区北侧应急集合点的路线以及吸油毡、吸油围栏（拦油索）、防酸碱防护服、正压式空气呼吸器、过滤式防毒面具（含滤毒盒）、堵漏胶、堵漏夹具、木楔、酸碱中和药剂（石灰、碳酸钠）、便携式气体检测仪、便携式VOCs检测仪、洗眼器、应急喷淋装置等应急物资的正确使用。新员工入职培训中应包含环境应急内容，考核合格后方可上岗。演练方面，每年至少组织一次综合环境应急演练，每半年至少组织一次针对硫酸泄漏、甲醇泄漏火灾等情景的专项演练或现场处置演练，演练应覆盖报警、抢险救援、警戒疏散、医疗救护、环境监测、后勤保障等环节，并邀请泰安市某检测有限公司按监测方案对厂区废水总排口、雨水总排口、事故应急池、废气排气筒、厂界下风向100米开展监测演练。每次演练后应进行评估总结，形成记录并归档，针对发现的问题及时修订应急预案。</w:t>
      </w:r>
    </w:p>
    <w:p>
      <w:pPr>
        <w:pStyle w:val="Heading2"/>
        <w:spacing w:line="500" w:lineRule="exact" w:before="0" w:after="0"/>
        <w:jc w:val="left"/>
        <w:outlineLvl w:val="1"/>
      </w:pPr>
      <w:bookmarkStart w:id="90047" w:name="_Toc90047"/>
      <w:r>
        <w:rPr>
          <w:rFonts w:ascii="Times New Roman" w:hAnsi="Times New Roman" w:eastAsia="宋体"/>
          <w:sz w:val="28"/>
          <w:b/>
        </w:rPr>
        <w:t>9.2 奖励与责任追究</w:t>
      </w:r>
      <w:bookmarkEnd w:id="90047"/>
    </w:p>
    <w:p>
      <w:pPr>
        <w:spacing w:line="500" w:lineRule="exact" w:before="0" w:after="0"/>
        <w:ind w:firstLineChars="200"/>
        <w:jc w:val="left"/>
      </w:pPr>
      <w:r>
        <w:rPr>
          <w:rFonts w:ascii="Times New Roman" w:hAnsi="Times New Roman" w:eastAsia="宋体"/>
          <w:sz w:val="24"/>
        </w:rPr>
        <w:t>公司应建立环境应急工作奖励与责任追究制度，由应急办公室负责考核，报总指挥李某某审定。对在环境应急工作中及时发现并报告环境风险隐患、在事故初期有效处置泄漏或火灾、正确操作事故应急池与事故水总排口切换阀、及时组织人员疏散至厂区北侧应急集合点、妥善使用吸油毡、吸油围栏（拦油索）、堵漏胶、堵漏夹具、木楔、酸碱中和药剂（石灰、碳酸钠）等应急物资避免事态扩大的部门和个人，给予表彰和奖励。对未按规定参加应急培训与演练、未按要求维护应急物资和应急设施、在事故发生时迟报、漏报、谎报或瞒报、不服从应急指挥、未履行抢险救援与警戒疏散职责、导致事故扩大或造成环境污染的，视情节轻重给予批评教育、经济处罚或行政处分；构成违法犯罪的，依法移送有关部门处理。责任追究应做到事实清楚、程序规范、处理有据，处理结果纳入个人和部门年度考核，并作为应急管理工作持续改进的依据。</w:t>
      </w:r>
    </w:p>
    <w:p>
      <w:pPr>
        <w:pStyle w:val="Heading1"/>
        <w:spacing w:line="500" w:lineRule="exact" w:before="0" w:after="0"/>
        <w:jc w:val="left"/>
        <w:outlineLvl w:val="0"/>
      </w:pPr>
      <w:bookmarkStart w:id="90048" w:name="_Toc90048"/>
      <w:r>
        <w:rPr>
          <w:rFonts w:ascii="Times New Roman" w:hAnsi="Times New Roman" w:eastAsia="宋体"/>
          <w:sz w:val="30"/>
          <w:b/>
        </w:rPr>
        <w:t>10 附则</w:t>
      </w:r>
      <w:bookmarkEnd w:id="90048"/>
    </w:p>
    <w:p>
      <w:pPr>
        <w:pStyle w:val="Heading2"/>
        <w:spacing w:line="500" w:lineRule="exact" w:before="0" w:after="0"/>
        <w:jc w:val="left"/>
        <w:outlineLvl w:val="1"/>
      </w:pPr>
      <w:bookmarkStart w:id="90049" w:name="_Toc90049"/>
      <w:r>
        <w:rPr>
          <w:rFonts w:ascii="Times New Roman" w:hAnsi="Times New Roman" w:eastAsia="宋体"/>
          <w:sz w:val="28"/>
          <w:b/>
        </w:rPr>
        <w:t>10.1 术语和定义</w:t>
      </w:r>
      <w:bookmarkEnd w:id="90049"/>
    </w:p>
    <w:p>
      <w:pPr>
        <w:spacing w:line="500" w:lineRule="exact" w:before="0" w:after="0"/>
        <w:ind w:firstLineChars="200"/>
        <w:jc w:val="left"/>
      </w:pPr>
      <w:r>
        <w:rPr>
          <w:rFonts w:ascii="Times New Roman" w:hAnsi="Times New Roman" w:eastAsia="宋体"/>
          <w:sz w:val="24"/>
        </w:rPr>
        <w:t>（1）突发环境事件：指突然发生，造成或者可能造成环境污染、生态破坏，危及公众生命财产安全和社会公共秩序，需要采取应急处置措施予以应对的事件。</w:t>
      </w:r>
    </w:p>
    <w:p>
      <w:pPr>
        <w:spacing w:line="500" w:lineRule="exact" w:before="0" w:after="0"/>
        <w:ind w:firstLineChars="200"/>
        <w:jc w:val="left"/>
      </w:pPr>
      <w:r>
        <w:rPr>
          <w:rFonts w:ascii="Times New Roman" w:hAnsi="Times New Roman" w:eastAsia="宋体"/>
          <w:sz w:val="24"/>
        </w:rPr>
        <w:t>（2）环境风险源：指可能发生突发环境事件，并造成环境污染、生态破坏的固定或移动的设施、场所、活动及其所在环境。</w:t>
      </w:r>
    </w:p>
    <w:p>
      <w:pPr>
        <w:spacing w:line="500" w:lineRule="exact" w:before="0" w:after="0"/>
        <w:ind w:firstLineChars="200"/>
        <w:jc w:val="left"/>
      </w:pPr>
      <w:r>
        <w:rPr>
          <w:rFonts w:ascii="Times New Roman" w:hAnsi="Times New Roman" w:eastAsia="宋体"/>
          <w:sz w:val="24"/>
        </w:rPr>
        <w:t>（3）环境风险受体：指可能受到突发环境事件影响的敏感受体，包括居民点、学校、医院、饮用水源地、自然保护区、河流湖泊等。</w:t>
      </w:r>
    </w:p>
    <w:p>
      <w:pPr>
        <w:spacing w:line="500" w:lineRule="exact" w:before="0" w:after="0"/>
        <w:ind w:firstLineChars="200"/>
        <w:jc w:val="left"/>
      </w:pPr>
      <w:r>
        <w:rPr>
          <w:rFonts w:ascii="Times New Roman" w:hAnsi="Times New Roman" w:eastAsia="宋体"/>
          <w:sz w:val="24"/>
        </w:rPr>
        <w:t>（4）环境应急资源：指突发环境事件应急处置过程中，第一时间可调用的环境应急队伍、装备、物资、场所等应急资源。</w:t>
      </w:r>
    </w:p>
    <w:p>
      <w:pPr>
        <w:spacing w:line="500" w:lineRule="exact" w:before="0" w:after="0"/>
        <w:ind w:firstLineChars="200"/>
        <w:jc w:val="left"/>
      </w:pPr>
      <w:r>
        <w:rPr>
          <w:rFonts w:ascii="Times New Roman" w:hAnsi="Times New Roman" w:eastAsia="宋体"/>
          <w:sz w:val="24"/>
        </w:rPr>
        <w:t>（5）预警：指根据环境风险源监控信息和突发环境事件发生、发展态势，对环境事件发生的可能性、影响范围和危害程度作出的预报和警示。</w:t>
      </w:r>
    </w:p>
    <w:p>
      <w:pPr>
        <w:pStyle w:val="Heading2"/>
        <w:spacing w:line="500" w:lineRule="exact" w:before="0" w:after="0"/>
        <w:jc w:val="left"/>
        <w:outlineLvl w:val="1"/>
      </w:pPr>
      <w:bookmarkStart w:id="90050" w:name="_Toc90050"/>
      <w:r>
        <w:rPr>
          <w:rFonts w:ascii="Times New Roman" w:hAnsi="Times New Roman" w:eastAsia="宋体"/>
          <w:sz w:val="28"/>
          <w:b/>
        </w:rPr>
        <w:t>10.2 制定与修订</w:t>
      </w:r>
      <w:bookmarkEnd w:id="90050"/>
    </w:p>
    <w:p>
      <w:pPr>
        <w:spacing w:line="500" w:lineRule="exact" w:before="0" w:after="0"/>
        <w:ind w:firstLineChars="200"/>
        <w:jc w:val="left"/>
      </w:pPr>
      <w:r>
        <w:rPr>
          <w:rFonts w:ascii="Times New Roman" w:hAnsi="Times New Roman" w:eastAsia="宋体"/>
          <w:sz w:val="24"/>
        </w:rPr>
        <w:t>本预案由本单位应急办公室负责日常管理，由应急指挥部负责组织修订。</w:t>
      </w:r>
    </w:p>
    <w:p>
      <w:pPr>
        <w:spacing w:line="500" w:lineRule="exact" w:before="0" w:after="0"/>
        <w:ind w:firstLineChars="200"/>
        <w:jc w:val="left"/>
      </w:pPr>
      <w:r>
        <w:rPr>
          <w:rFonts w:ascii="Times New Roman" w:hAnsi="Times New Roman" w:eastAsia="宋体"/>
          <w:sz w:val="24"/>
        </w:rPr>
        <w:t>有下列情形之一的，应当及时修订本预案：</w:t>
      </w:r>
    </w:p>
    <w:p>
      <w:pPr>
        <w:spacing w:line="500" w:lineRule="exact" w:before="0" w:after="0"/>
        <w:ind w:firstLineChars="200"/>
        <w:jc w:val="left"/>
      </w:pPr>
      <w:r>
        <w:rPr>
          <w:rFonts w:ascii="Times New Roman" w:hAnsi="Times New Roman" w:eastAsia="宋体"/>
          <w:sz w:val="24"/>
        </w:rPr>
        <w:t>（1）本单位生产工艺、原辅材料、生产规模发生重大变化的；</w:t>
      </w:r>
    </w:p>
    <w:p>
      <w:pPr>
        <w:spacing w:line="500" w:lineRule="exact" w:before="0" w:after="0"/>
        <w:ind w:firstLineChars="200"/>
        <w:jc w:val="left"/>
      </w:pPr>
      <w:r>
        <w:rPr>
          <w:rFonts w:ascii="Times New Roman" w:hAnsi="Times New Roman" w:eastAsia="宋体"/>
          <w:sz w:val="24"/>
        </w:rPr>
        <w:t>（2）本单位环境风险物质种类、数量发生重大变化，或环境风险等级发生变化的；</w:t>
      </w:r>
    </w:p>
    <w:p>
      <w:pPr>
        <w:spacing w:line="500" w:lineRule="exact" w:before="0" w:after="0"/>
        <w:ind w:firstLineChars="200"/>
        <w:jc w:val="left"/>
      </w:pPr>
      <w:r>
        <w:rPr>
          <w:rFonts w:ascii="Times New Roman" w:hAnsi="Times New Roman" w:eastAsia="宋体"/>
          <w:sz w:val="24"/>
        </w:rPr>
        <w:t>（3）应急组织指挥体系或主要负责人发生调整的；</w:t>
      </w:r>
    </w:p>
    <w:p>
      <w:pPr>
        <w:spacing w:line="500" w:lineRule="exact" w:before="0" w:after="0"/>
        <w:ind w:firstLineChars="200"/>
        <w:jc w:val="left"/>
      </w:pPr>
      <w:r>
        <w:rPr>
          <w:rFonts w:ascii="Times New Roman" w:hAnsi="Times New Roman" w:eastAsia="宋体"/>
          <w:sz w:val="24"/>
        </w:rPr>
        <w:t>（4）依据的法律法规、标准规范发生变化的；</w:t>
      </w:r>
    </w:p>
    <w:p>
      <w:pPr>
        <w:spacing w:line="500" w:lineRule="exact" w:before="0" w:after="0"/>
        <w:ind w:firstLineChars="200"/>
        <w:jc w:val="left"/>
      </w:pPr>
      <w:r>
        <w:rPr>
          <w:rFonts w:ascii="Times New Roman" w:hAnsi="Times New Roman" w:eastAsia="宋体"/>
          <w:sz w:val="24"/>
        </w:rPr>
        <w:t>（5）周围环境风险受体发生重大变化的；</w:t>
      </w:r>
    </w:p>
    <w:p>
      <w:pPr>
        <w:spacing w:line="500" w:lineRule="exact" w:before="0" w:after="0"/>
        <w:ind w:firstLineChars="200"/>
        <w:jc w:val="left"/>
      </w:pPr>
      <w:r>
        <w:rPr>
          <w:rFonts w:ascii="Times New Roman" w:hAnsi="Times New Roman" w:eastAsia="宋体"/>
          <w:sz w:val="24"/>
        </w:rPr>
        <w:t>（6）在应急演练或实际应急处置中发现预案存在重大缺陷的。</w:t>
      </w:r>
    </w:p>
    <w:p>
      <w:pPr>
        <w:spacing w:line="500" w:lineRule="exact" w:before="0" w:after="0"/>
        <w:ind w:firstLineChars="200"/>
        <w:jc w:val="left"/>
      </w:pPr>
      <w:r>
        <w:rPr>
          <w:rFonts w:ascii="Times New Roman" w:hAnsi="Times New Roman" w:eastAsia="宋体"/>
          <w:sz w:val="24"/>
        </w:rPr>
        <w:t>本预案原则上每三年进行一次评估，并按评估结论决定是否修订。</w:t>
      </w:r>
    </w:p>
    <w:p>
      <w:pPr>
        <w:spacing w:line="500" w:lineRule="exact" w:before="0" w:after="0"/>
        <w:ind w:firstLineChars="200"/>
        <w:jc w:val="left"/>
      </w:pPr>
      <w:r>
        <w:rPr>
          <w:rFonts w:ascii="Times New Roman" w:hAnsi="Times New Roman" w:eastAsia="宋体"/>
          <w:sz w:val="24"/>
        </w:rPr>
        <w:t>修订后的预案应重新履行评审、签署发布和备案程序。</w:t>
      </w:r>
    </w:p>
    <w:p>
      <w:pPr>
        <w:pStyle w:val="Heading2"/>
        <w:spacing w:line="500" w:lineRule="exact" w:before="0" w:after="0"/>
        <w:jc w:val="left"/>
        <w:outlineLvl w:val="1"/>
      </w:pPr>
      <w:bookmarkStart w:id="90051" w:name="_Toc90051"/>
      <w:r>
        <w:rPr>
          <w:rFonts w:ascii="Times New Roman" w:hAnsi="Times New Roman" w:eastAsia="宋体"/>
          <w:sz w:val="28"/>
          <w:b/>
        </w:rPr>
        <w:t>10.3 应急预案实施</w:t>
      </w:r>
      <w:bookmarkEnd w:id="90051"/>
    </w:p>
    <w:p>
      <w:pPr>
        <w:spacing w:line="500" w:lineRule="exact" w:before="0" w:after="0"/>
        <w:ind w:firstLineChars="200"/>
        <w:jc w:val="left"/>
      </w:pPr>
      <w:r>
        <w:rPr>
          <w:rFonts w:ascii="Times New Roman" w:hAnsi="Times New Roman" w:eastAsia="宋体"/>
          <w:sz w:val="24"/>
        </w:rPr>
        <w:t>本预案经泰安示例新材料科技有限公司主要负责人签署发布后实施。</w:t>
      </w:r>
    </w:p>
    <w:p>
      <w:pPr>
        <w:spacing w:line="500" w:lineRule="exact" w:before="0" w:after="0"/>
        <w:ind w:firstLineChars="200"/>
        <w:jc w:val="left"/>
      </w:pPr>
      <w:r>
        <w:rPr>
          <w:rFonts w:ascii="Times New Roman" w:hAnsi="Times New Roman" w:eastAsia="宋体"/>
          <w:sz w:val="24"/>
        </w:rPr>
        <w:t>本预案由本单位应急办公室负责解释。</w:t>
      </w:r>
    </w:p>
    <w:p>
      <w:pPr>
        <w:spacing w:line="500" w:lineRule="exact" w:before="0" w:after="0"/>
        <w:ind w:firstLineChars="200"/>
        <w:jc w:val="left"/>
      </w:pPr>
      <w:r>
        <w:rPr>
          <w:rFonts w:ascii="Times New Roman" w:hAnsi="Times New Roman" w:eastAsia="宋体"/>
          <w:sz w:val="24"/>
        </w:rPr>
        <w:t>本预案自发布之日起施行，原有突发环境事件应急预案同时废止。</w:t>
      </w:r>
    </w:p>
    <w:p>
      <w:r>
        <w:br w:type="page"/>
      </w:r>
    </w:p>
    <w:p>
      <w:pPr>
        <w:pStyle w:val="Heading1"/>
        <w:spacing w:line="500" w:lineRule="exact" w:before="0" w:after="0"/>
        <w:jc w:val="left"/>
        <w:outlineLvl w:val="0"/>
      </w:pPr>
      <w:bookmarkStart w:id="90052" w:name="_Toc90052"/>
      <w:r>
        <w:rPr>
          <w:rFonts w:ascii="Times New Roman" w:hAnsi="Times New Roman" w:eastAsia="宋体"/>
          <w:sz w:val="30"/>
          <w:b/>
        </w:rPr>
        <w:t>附件1：营业执照</w:t>
      </w:r>
      <w:bookmarkEnd w:id="90052"/>
    </w:p>
    <w:p>
      <w:pPr>
        <w:spacing w:line="500" w:lineRule="exact" w:before="0" w:after="0"/>
        <w:ind w:firstLineChars="200"/>
        <w:jc w:val="left"/>
      </w:pPr>
      <w:r>
        <w:rPr>
          <w:rFonts w:ascii="Times New Roman" w:hAnsi="Times New Roman" w:eastAsia="宋体"/>
          <w:sz w:val="24"/>
        </w:rPr>
        <w:t>本附件应粘贴企业营业执照副本复印件。</w:t>
      </w:r>
    </w:p>
    <w:p>
      <w:r>
        <w:br w:type="page"/>
      </w:r>
    </w:p>
    <w:p>
      <w:pPr>
        <w:pStyle w:val="Heading1"/>
        <w:spacing w:line="500" w:lineRule="exact" w:before="0" w:after="0"/>
        <w:jc w:val="left"/>
        <w:outlineLvl w:val="0"/>
      </w:pPr>
      <w:bookmarkStart w:id="90053" w:name="_Toc90053"/>
      <w:r>
        <w:rPr>
          <w:rFonts w:ascii="Times New Roman" w:hAnsi="Times New Roman" w:eastAsia="宋体"/>
          <w:sz w:val="30"/>
          <w:b/>
        </w:rPr>
        <w:t>附件2：土地证明</w:t>
      </w:r>
      <w:bookmarkEnd w:id="90053"/>
    </w:p>
    <w:p>
      <w:pPr>
        <w:spacing w:line="500" w:lineRule="exact" w:before="0" w:after="0"/>
        <w:ind w:firstLineChars="200"/>
        <w:jc w:val="left"/>
      </w:pPr>
      <w:r>
        <w:rPr>
          <w:rFonts w:ascii="Times New Roman" w:hAnsi="Times New Roman" w:eastAsia="宋体"/>
          <w:sz w:val="24"/>
        </w:rPr>
        <w:t>本附件应粘贴企业土地证或土地租赁协议复印件。</w:t>
      </w:r>
    </w:p>
    <w:p>
      <w:r>
        <w:br w:type="page"/>
      </w:r>
    </w:p>
    <w:p>
      <w:pPr>
        <w:pStyle w:val="Heading1"/>
        <w:spacing w:line="500" w:lineRule="exact" w:before="0" w:after="0"/>
        <w:jc w:val="left"/>
        <w:outlineLvl w:val="0"/>
      </w:pPr>
      <w:bookmarkStart w:id="90054" w:name="_Toc90054"/>
      <w:r>
        <w:rPr>
          <w:rFonts w:ascii="Times New Roman" w:hAnsi="Times New Roman" w:eastAsia="宋体"/>
          <w:sz w:val="30"/>
          <w:b/>
        </w:rPr>
        <w:t>附件3：突发环境事件规范化格式文本</w:t>
      </w:r>
      <w:bookmarkEnd w:id="90054"/>
    </w:p>
    <w:p>
      <w:pPr>
        <w:spacing w:line="500" w:lineRule="exact" w:before="0" w:after="0"/>
        <w:ind w:firstLineChars="200"/>
        <w:jc w:val="left"/>
      </w:pPr>
      <w:r>
        <w:rPr>
          <w:rFonts w:ascii="Times New Roman" w:hAnsi="Times New Roman" w:eastAsia="宋体"/>
          <w:sz w:val="24"/>
        </w:rPr>
        <w:t>本附件为突发环境事件信息报告表，按生态环境主管部门要求的规范化格式文本填写。</w:t>
      </w:r>
    </w:p>
    <w:p>
      <w:r>
        <w:br w:type="page"/>
      </w:r>
    </w:p>
    <w:p>
      <w:pPr>
        <w:pStyle w:val="Heading1"/>
        <w:spacing w:line="500" w:lineRule="exact" w:before="0" w:after="0"/>
        <w:jc w:val="left"/>
        <w:outlineLvl w:val="0"/>
      </w:pPr>
      <w:bookmarkStart w:id="90055" w:name="_Toc90055"/>
      <w:r>
        <w:rPr>
          <w:rFonts w:ascii="Times New Roman" w:hAnsi="Times New Roman" w:eastAsia="宋体"/>
          <w:sz w:val="30"/>
          <w:b/>
        </w:rPr>
        <w:t>附件4：监测通讯方案</w:t>
      </w:r>
      <w:bookmarkEnd w:id="90055"/>
    </w:p>
    <w:p>
      <w:pPr>
        <w:spacing w:line="500" w:lineRule="exact" w:before="0" w:after="0"/>
        <w:ind w:firstLineChars="200"/>
        <w:jc w:val="left"/>
      </w:pPr>
      <w:r>
        <w:rPr>
          <w:rFonts w:ascii="Times New Roman" w:hAnsi="Times New Roman" w:eastAsia="宋体"/>
          <w:sz w:val="24"/>
        </w:rPr>
        <w:t>应急监测由本单位环境监测组配合有资质的环境监测机构实施，监测项目、点位、频次按 HJ 589-2021 确定，具体方案如下：</w:t>
      </w:r>
    </w:p>
    <w:p>
      <w:pPr>
        <w:keepNext w:val="true"/>
        <w:spacing w:line="500" w:lineRule="exact" w:before="0" w:after="0"/>
        <w:jc w:val="center"/>
      </w:pPr>
      <w:r>
        <w:rPr>
          <w:rFonts w:ascii="宋体" w:hAnsi="宋体" w:eastAsia="宋体"/>
          <w:sz w:val="28"/>
          <w:b/>
        </w:rPr>
        <w:t>表1 突发环境事件应急监测方案</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542"/>
        <w:gridCol w:w="1747"/>
        <w:gridCol w:w="1336"/>
        <w:gridCol w:w="1542"/>
        <w:gridCol w:w="2055"/>
      </w:tblGrid>
      <w:tr>
        <w:trPr>
          <w:cantSplit w:val="true"/>
          <w:trHeight w:val="320" w:hRule="atLeast"/>
          <w:tblHeader w:val="true"/>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监测项目</w:t>
            </w:r>
          </w:p>
        </w:tc>
        <w:tc>
          <w:tcPr>
            <w:tcW w:w="17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监测点位</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监测频次</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监测方法</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责任单位</w:t>
            </w:r>
          </w:p>
        </w:tc>
      </w:tr>
      <w:tr>
        <w:trPr>
          <w:cantSplit w:val="true"/>
          <w:trHeight w:val="320" w:hRule="atLeast"/>
        </w:trPr>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pH、COD、氨氮、总磷、氯化物、硫酸盐、非甲烷总烃、氯化氢、氨、颗粒物</w:t>
            </w:r>
          </w:p>
        </w:tc>
        <w:tc>
          <w:tcPr>
            <w:tcW w:w="17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厂区废水总排口、雨水总排口、事故应急池、废气排气筒、厂界下风向100米</w:t>
            </w:r>
          </w:p>
        </w:tc>
        <w:tc>
          <w:tcPr>
            <w:tcW w:w="1336"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事故初期每1小时1次，事态稳定后每4小时1次，直至恢复正常</w:t>
            </w:r>
          </w:p>
        </w:tc>
        <w:tc>
          <w:tcPr>
            <w:tcW w:w="1542"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HJ 589-2021</w:t>
            </w:r>
          </w:p>
        </w:tc>
        <w:tc>
          <w:tcPr>
            <w:tcW w:w="2055"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泰安市某检测有限公司</w:t>
            </w:r>
          </w:p>
        </w:tc>
      </w:tr>
    </w:tbl>
    <w:p>
      <w:r>
        <w:br w:type="page"/>
      </w:r>
    </w:p>
    <w:p>
      <w:pPr>
        <w:pStyle w:val="Heading1"/>
        <w:spacing w:line="500" w:lineRule="exact" w:before="0" w:after="0"/>
        <w:jc w:val="left"/>
        <w:outlineLvl w:val="0"/>
      </w:pPr>
      <w:bookmarkStart w:id="90056" w:name="_Toc90056"/>
      <w:r>
        <w:rPr>
          <w:rFonts w:ascii="Times New Roman" w:hAnsi="Times New Roman" w:eastAsia="宋体"/>
          <w:sz w:val="30"/>
          <w:b/>
        </w:rPr>
        <w:t>附件5：应急互救协议</w:t>
      </w:r>
      <w:bookmarkEnd w:id="90056"/>
    </w:p>
    <w:p>
      <w:pPr>
        <w:spacing w:line="500" w:lineRule="exact" w:before="0" w:after="0"/>
        <w:ind w:firstLineChars="200"/>
        <w:jc w:val="left"/>
      </w:pPr>
      <w:r>
        <w:rPr>
          <w:rFonts w:ascii="Times New Roman" w:hAnsi="Times New Roman" w:eastAsia="宋体"/>
          <w:sz w:val="24"/>
        </w:rPr>
        <w:t>本附件应粘贴与周边企业签订的应急互救协议。</w:t>
      </w:r>
    </w:p>
    <w:p>
      <w:r>
        <w:br w:type="page"/>
      </w:r>
    </w:p>
    <w:p>
      <w:pPr>
        <w:pStyle w:val="Heading1"/>
        <w:spacing w:line="500" w:lineRule="exact" w:before="0" w:after="0"/>
        <w:jc w:val="left"/>
        <w:outlineLvl w:val="0"/>
      </w:pPr>
      <w:bookmarkStart w:id="90057" w:name="_Toc90057"/>
      <w:r>
        <w:rPr>
          <w:rFonts w:ascii="Times New Roman" w:hAnsi="Times New Roman" w:eastAsia="宋体"/>
          <w:sz w:val="30"/>
          <w:b/>
        </w:rPr>
        <w:t>附件6：危险废物处置合同</w:t>
      </w:r>
      <w:bookmarkEnd w:id="90057"/>
    </w:p>
    <w:p>
      <w:pPr>
        <w:spacing w:line="500" w:lineRule="exact" w:before="0" w:after="0"/>
        <w:ind w:firstLineChars="200"/>
        <w:jc w:val="left"/>
      </w:pPr>
      <w:r>
        <w:rPr>
          <w:rFonts w:ascii="Times New Roman" w:hAnsi="Times New Roman" w:eastAsia="宋体"/>
          <w:sz w:val="24"/>
        </w:rPr>
        <w:t>本附件应粘贴与有资质单位签订的危险废物处置合同。</w:t>
      </w:r>
    </w:p>
    <w:p>
      <w:r>
        <w:br w:type="page"/>
      </w:r>
    </w:p>
    <w:p>
      <w:pPr>
        <w:pStyle w:val="Heading1"/>
        <w:spacing w:line="500" w:lineRule="exact" w:before="0" w:after="0"/>
        <w:jc w:val="left"/>
        <w:outlineLvl w:val="0"/>
      </w:pPr>
      <w:bookmarkStart w:id="90058" w:name="_Toc90058"/>
      <w:r>
        <w:rPr>
          <w:rFonts w:ascii="Times New Roman" w:hAnsi="Times New Roman" w:eastAsia="宋体"/>
          <w:sz w:val="30"/>
          <w:b/>
        </w:rPr>
        <w:t>附件7：应急指挥通讯录</w:t>
      </w:r>
      <w:bookmarkEnd w:id="90058"/>
    </w:p>
    <w:p>
      <w:pPr>
        <w:keepNext w:val="true"/>
        <w:spacing w:line="500" w:lineRule="exact" w:before="0" w:after="0"/>
        <w:jc w:val="center"/>
      </w:pPr>
      <w:r>
        <w:rPr>
          <w:rFonts w:ascii="宋体" w:hAnsi="宋体" w:eastAsia="宋体"/>
          <w:sz w:val="28"/>
          <w:b/>
        </w:rPr>
        <w:t>公司应急救援小组一览表</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1928"/>
        <w:gridCol w:w="1814"/>
        <w:gridCol w:w="2268"/>
        <w:gridCol w:w="2211"/>
      </w:tblGrid>
      <w:tr>
        <w:trPr>
          <w:cantSplit w:val="true"/>
          <w:trHeight w:val="320" w:hRule="atLeast"/>
          <w:tblHeader w:val="true"/>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机构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职务</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姓名</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电话</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应急指挥部</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总指挥</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李某某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13700000010</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应急指挥部</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副总指挥</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王某某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13700000011</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应急办公室</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应急办公室主任</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张某某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13700000012</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抢险救援组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刘某某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13700000013</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警戒疏散组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陈某某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13700000014</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医疗救护组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杨某某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13700000015</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环境监测组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192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后勤保障组</w:t>
            </w:r>
          </w:p>
        </w:tc>
        <w:tc>
          <w:tcPr>
            <w:tcW w:w="181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组长</w:t>
            </w:r>
          </w:p>
        </w:tc>
        <w:tc>
          <w:tcPr>
            <w:tcW w:w="2268"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221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bl>
    <w:p>
      <w:pPr>
        <w:keepNext w:val="true"/>
        <w:spacing w:line="500" w:lineRule="exact" w:before="0" w:after="0"/>
        <w:jc w:val="center"/>
      </w:pPr>
      <w:r>
        <w:rPr>
          <w:rFonts w:ascii="宋体" w:hAnsi="宋体" w:eastAsia="宋体"/>
          <w:sz w:val="28"/>
          <w:b/>
        </w:rPr>
        <w:t>外部联系单位、人员、电话</w:t>
      </w:r>
    </w:p>
    <w:tbl>
      <w:tblPr>
        <w:tblStyle w:val="TableGrid"/>
        <w:tblLook w:firstColumn="1" w:firstRow="1" w:lastColumn="0" w:lastRow="0" w:noHBand="0" w:noVBand="1" w:val="04A0"/>
        <w:tblW w:w="8221" w:type="dxa"/>
        <w:jc w:val="center"/>
        <w:tblInd w:w="0" w:type="dxa"/>
        <w:tblLayout w:type="fixed"/>
        <w:tblCellMar>
          <w:top w:w="0" w:type="dxa"/>
          <w:start w:w="108" w:type="dxa"/>
          <w:bottom w:w="0" w:type="dxa"/>
          <w:end w:w="108" w:type="dxa"/>
        </w:tblCellMar>
      </w:tblPr>
      <w:tblGrid>
        <w:gridCol w:w="719"/>
        <w:gridCol w:w="3289"/>
        <w:gridCol w:w="1850"/>
        <w:gridCol w:w="2364"/>
      </w:tblGrid>
      <w:tr>
        <w:trPr>
          <w:cantSplit w:val="true"/>
          <w:trHeight w:val="320" w:hRule="atLeast"/>
          <w:tblHeader w:val="true"/>
        </w:trPr>
        <w:tc>
          <w:tcPr>
            <w:tcW w:w="71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单位名称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联系人</w:t>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联系电话</w:t>
            </w:r>
          </w:p>
        </w:tc>
      </w:tr>
      <w:tr>
        <w:trPr>
          <w:cantSplit w:val="true"/>
          <w:trHeight w:val="320" w:hRule="atLeast"/>
        </w:trPr>
        <w:tc>
          <w:tcPr>
            <w:tcW w:w="71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3289"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color w:val="C00000"/>
              </w:rPr>
              <w:t>【待用户填：外部救援单位名称】</w:t>
            </w:r>
          </w:p>
        </w:tc>
        <w:tc>
          <w:tcPr>
            <w:tcW w:w="1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c>
          <w:tcPr>
            <w:tcW w:w="236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r>
          </w:p>
        </w:tc>
      </w:tr>
    </w:tbl>
    <w:p>
      <w:r>
        <w:br w:type="page"/>
      </w:r>
    </w:p>
    <w:p>
      <w:pPr>
        <w:pStyle w:val="Heading1"/>
        <w:spacing w:line="500" w:lineRule="exact" w:before="0" w:after="0"/>
        <w:jc w:val="left"/>
        <w:outlineLvl w:val="0"/>
      </w:pPr>
      <w:bookmarkStart w:id="90059" w:name="_Toc90059"/>
      <w:r>
        <w:rPr>
          <w:rFonts w:ascii="Times New Roman" w:hAnsi="Times New Roman" w:eastAsia="宋体"/>
          <w:sz w:val="30"/>
          <w:b/>
        </w:rPr>
        <w:t>附件8：环境应急物资储备清单</w:t>
      </w:r>
      <w:bookmarkEnd w:id="90059"/>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510"/>
        <w:gridCol w:w="1361"/>
        <w:gridCol w:w="1474"/>
        <w:gridCol w:w="850"/>
        <w:gridCol w:w="1304"/>
        <w:gridCol w:w="1077"/>
        <w:gridCol w:w="1644"/>
      </w:tblGrid>
      <w:tr>
        <w:trPr>
          <w:cantSplit w:val="true"/>
          <w:trHeight w:val="320" w:hRule="atLeast"/>
          <w:tblHeader w:val="true"/>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物资名称</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规格型号</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数量</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存放地点</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责任人</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联系电话</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吸油毡</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400×500mm</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200张</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吸油围栏（拦油索）</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直径200mm×10m</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4条</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防酸碱防护服</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全封闭</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正压式空气呼吸器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6.8L/30MPa</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应急器材柜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过滤式防毒面具（含滤毒盒）</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A/B/E/K 组合</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应急器材柜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化学防护手套、护目镜</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耐酸碱</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车间应急柜</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堵漏胶、堵漏夹具、木楔</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成套</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干粉灭火器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40只</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各车间及储罐区</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9</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推车式干粉/泡沫灭火器</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35kg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6只</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储罐区、危废暂存间</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酸碱中和药剂（石灰、碳酸钠）</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袋装</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2吨</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11</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便携式气体检测仪</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四合一（O2/LEL/H2S/CO）</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4台</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安环部</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12</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便携式VOCs检测仪</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PID</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2台</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安环部</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应急照明灯、警示带、警示牌</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成套</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10套</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14</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应急转运桶、沙袋</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200L/50kg</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20个/200条</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应急物资库</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孙某某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13700000001</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15</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洗眼器、应急喷淋装置</w:t>
            </w:r>
          </w:p>
        </w:tc>
        <w:tc>
          <w:tcPr>
            <w:tcW w:w="147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固定式</w:t>
            </w:r>
          </w:p>
        </w:tc>
        <w:tc>
          <w:tcPr>
            <w:tcW w:w="85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6处</w:t>
            </w:r>
          </w:p>
        </w:tc>
        <w:tc>
          <w:tcPr>
            <w:tcW w:w="130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车间、储罐区</w:t>
            </w:r>
          </w:p>
        </w:tc>
        <w:tc>
          <w:tcPr>
            <w:tcW w:w="107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周某某</w:t>
            </w:r>
          </w:p>
        </w:tc>
        <w:tc>
          <w:tcPr>
            <w:tcW w:w="1644"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13700000002</w:t>
            </w:r>
          </w:p>
        </w:tc>
      </w:tr>
    </w:tbl>
    <w:p>
      <w:r>
        <w:br w:type="page"/>
      </w:r>
    </w:p>
    <w:p>
      <w:pPr>
        <w:pStyle w:val="Heading1"/>
        <w:spacing w:line="500" w:lineRule="exact" w:before="0" w:after="0"/>
        <w:jc w:val="left"/>
        <w:outlineLvl w:val="0"/>
      </w:pPr>
      <w:bookmarkStart w:id="90060" w:name="_Toc90060"/>
      <w:r>
        <w:rPr>
          <w:rFonts w:ascii="Times New Roman" w:hAnsi="Times New Roman" w:eastAsia="宋体"/>
          <w:sz w:val="30"/>
          <w:b/>
        </w:rPr>
        <w:t>附件9：危险废物专项应急预案</w:t>
      </w:r>
      <w:bookmarkEnd w:id="90060"/>
    </w:p>
    <w:p>
      <w:pPr>
        <w:spacing w:line="500" w:lineRule="exact" w:before="0" w:after="0"/>
        <w:ind w:firstLineChars="200"/>
        <w:jc w:val="left"/>
      </w:pPr>
      <w:r>
        <w:rPr>
          <w:rFonts w:ascii="Times New Roman" w:hAnsi="Times New Roman" w:eastAsia="宋体"/>
          <w:sz w:val="24"/>
        </w:rPr>
        <w:t>本单位产生的危险废物主要为废活性炭、废有机溶剂、废包装桶、废矿物油、精馏残渣。危险废物在厂内暂存于危险废物暂存间，定期交由泰安某危废处置有限公司处置。</w:t>
      </w:r>
    </w:p>
    <w:p>
      <w:pPr>
        <w:spacing w:line="500" w:lineRule="exact" w:before="0" w:after="0"/>
        <w:ind w:firstLineChars="200"/>
        <w:jc w:val="left"/>
      </w:pPr>
      <w:r>
        <w:rPr>
          <w:rFonts w:ascii="Times New Roman" w:hAnsi="Times New Roman" w:eastAsia="宋体"/>
          <w:sz w:val="24"/>
        </w:rPr>
        <w:t>危险废物泄漏、扬散、流失时的处置措施：</w:t>
      </w:r>
    </w:p>
    <w:p>
      <w:pPr>
        <w:spacing w:line="500" w:lineRule="exact" w:before="0" w:after="0"/>
        <w:ind w:firstLineChars="200"/>
        <w:jc w:val="left"/>
      </w:pPr>
      <w:r>
        <w:rPr>
          <w:rFonts w:ascii="Times New Roman" w:hAnsi="Times New Roman" w:eastAsia="宋体"/>
          <w:sz w:val="24"/>
        </w:rPr>
        <w:t>（1）立即停止作业，切断泄漏源，设置警戒；</w:t>
      </w:r>
    </w:p>
    <w:p>
      <w:pPr>
        <w:spacing w:line="500" w:lineRule="exact" w:before="0" w:after="0"/>
        <w:ind w:firstLineChars="200"/>
        <w:jc w:val="left"/>
      </w:pPr>
      <w:r>
        <w:rPr>
          <w:rFonts w:ascii="Times New Roman" w:hAnsi="Times New Roman" w:eastAsia="宋体"/>
          <w:sz w:val="24"/>
        </w:rPr>
        <w:t>（2）对散落的危险废物用专用工具收集，不得用水冲洗；</w:t>
      </w:r>
    </w:p>
    <w:p>
      <w:pPr>
        <w:spacing w:line="500" w:lineRule="exact" w:before="0" w:after="0"/>
        <w:ind w:firstLineChars="200"/>
        <w:jc w:val="left"/>
      </w:pPr>
      <w:r>
        <w:rPr>
          <w:rFonts w:ascii="Times New Roman" w:hAnsi="Times New Roman" w:eastAsia="宋体"/>
          <w:sz w:val="24"/>
        </w:rPr>
        <w:t>（3）收集后的危险废物装入专用容器，贴上标签，暂存至危险废物暂存间；</w:t>
      </w:r>
    </w:p>
    <w:p>
      <w:pPr>
        <w:spacing w:line="500" w:lineRule="exact" w:before="0" w:after="0"/>
        <w:ind w:firstLineChars="200"/>
        <w:jc w:val="left"/>
      </w:pPr>
      <w:r>
        <w:rPr>
          <w:rFonts w:ascii="Times New Roman" w:hAnsi="Times New Roman" w:eastAsia="宋体"/>
          <w:sz w:val="24"/>
        </w:rPr>
        <w:t>（4）污染地面用吸油毡、吸油围栏（拦油索）等吸附后按危险废物处置；</w:t>
      </w:r>
    </w:p>
    <w:p>
      <w:pPr>
        <w:spacing w:line="500" w:lineRule="exact" w:before="0" w:after="0"/>
        <w:ind w:firstLineChars="200"/>
        <w:jc w:val="left"/>
      </w:pPr>
      <w:r>
        <w:rPr>
          <w:rFonts w:ascii="Times New Roman" w:hAnsi="Times New Roman" w:eastAsia="宋体"/>
          <w:sz w:val="24"/>
        </w:rPr>
        <w:t>（5）立即报告应急指挥部，必要时报告属地生态环境主管部门。</w:t>
      </w:r>
    </w:p>
    <w:p>
      <w:r>
        <w:br w:type="page"/>
      </w:r>
    </w:p>
    <w:p>
      <w:pPr>
        <w:pStyle w:val="Heading1"/>
        <w:spacing w:line="500" w:lineRule="exact" w:before="0" w:after="0"/>
        <w:jc w:val="left"/>
        <w:outlineLvl w:val="0"/>
      </w:pPr>
      <w:bookmarkStart w:id="90061" w:name="_Toc90061"/>
      <w:r>
        <w:rPr>
          <w:rFonts w:ascii="Times New Roman" w:hAnsi="Times New Roman" w:eastAsia="宋体"/>
          <w:sz w:val="30"/>
          <w:b/>
        </w:rPr>
        <w:t>附件10：现场处置预案</w:t>
      </w:r>
      <w:bookmarkEnd w:id="90061"/>
    </w:p>
    <w:p>
      <w:pPr>
        <w:spacing w:line="500" w:lineRule="exact" w:before="0" w:after="0"/>
        <w:ind w:firstLineChars="200"/>
        <w:jc w:val="left"/>
      </w:pPr>
      <w:r>
        <w:rPr>
          <w:rFonts w:ascii="Times New Roman" w:hAnsi="Times New Roman" w:eastAsia="宋体"/>
          <w:sz w:val="24"/>
        </w:rPr>
        <w:t>现场处置预案按环境风险单元分别编制。下表依据 HJ 941-2018 附录 A 的物质类别，逐项给出各环境风险物质泄漏、渗漏情景的现场处置要点：</w:t>
      </w:r>
    </w:p>
    <w:p>
      <w:pPr>
        <w:keepNext w:val="true"/>
        <w:spacing w:line="500" w:lineRule="exact" w:before="0" w:after="0"/>
        <w:jc w:val="center"/>
      </w:pPr>
      <w:r>
        <w:rPr>
          <w:rFonts w:ascii="宋体" w:hAnsi="宋体" w:eastAsia="宋体"/>
          <w:sz w:val="24"/>
          <w:b/>
        </w:rPr>
        <w:t>附表10-1 主要环境风险物质现场处置要点</w:t>
      </w:r>
    </w:p>
    <w:tbl>
      <w:tblPr>
        <w:tblStyle w:val="TableGrid"/>
        <w:tblLook w:firstColumn="1" w:firstRow="1" w:lastColumn="0" w:lastRow="0" w:noHBand="0" w:noVBand="1" w:val="04A0"/>
        <w:tblW w:w="8222" w:type="dxa"/>
        <w:jc w:val="center"/>
        <w:tblInd w:w="0" w:type="dxa"/>
        <w:tblLayout w:type="fixed"/>
        <w:tblCellMar>
          <w:top w:w="0" w:type="dxa"/>
          <w:start w:w="108" w:type="dxa"/>
          <w:bottom w:w="0" w:type="dxa"/>
          <w:end w:w="108" w:type="dxa"/>
        </w:tblCellMar>
      </w:tblPr>
      <w:tblGrid>
        <w:gridCol w:w="510"/>
        <w:gridCol w:w="1247"/>
        <w:gridCol w:w="1361"/>
        <w:gridCol w:w="5103"/>
      </w:tblGrid>
      <w:tr>
        <w:trPr>
          <w:cantSplit w:val="true"/>
          <w:trHeight w:val="320" w:hRule="atLeast"/>
          <w:tblHeader w:val="true"/>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序号</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风险物质</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附录A 类别</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现场处置要点</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盐酸</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第三部分 有毒液态物质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1.立即停止作业、切断泄漏源，关闭相关阀门或采取堵漏措施</w:t>
              <w:br/>
              <w:t>2.人员佩戴个体防护用品，从上风、侧上风方向进入，避免皮肤直接接触</w:t>
              <w:br/>
              <w:t>3.利用围堰、吸附材料围堵拦截，防止泄漏物扩散</w:t>
              <w:br/>
              <w:t>4.收集的泄漏物交有资质单位处置，被污染的吸附材料按危险废物管理</w:t>
              <w:br/>
              <w:t>5.切断雨水排口，将事故水导入事故应急池，防止进入外环境</w:t>
              <w:br/>
              <w:t>6.立即报告应急指挥部，必要时报告属地生态环境主管部门</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2</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硫酸</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第三部分 有毒液态物质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1.立即停止作业、切断泄漏源，关闭相关阀门或采取堵漏措施</w:t>
              <w:br/>
              <w:t>2.人员佩戴个体防护用品，从上风、侧上风方向进入，避免皮肤直接接触</w:t>
              <w:br/>
              <w:t>3.利用围堰、吸附材料围堵拦截，防止泄漏物扩散</w:t>
              <w:br/>
              <w:t>4.收集的泄漏物交有资质单位处置，被污染的吸附材料按危险废物管理</w:t>
              <w:br/>
              <w:t>5.切断雨水排口，将事故水导入事故应急池，防止进入外环境</w:t>
              <w:br/>
              <w:t>6.立即报告应急指挥部，必要时报告属地生态环境主管部门</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3</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甲醇</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第四部分 易燃液态物质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1.立即停止作业、切断泄漏源，消除一切火种，使用防爆工具</w:t>
              <w:br/>
              <w:t>2.人员佩戴个体防护用品，避免摩擦、撞击产生火花</w:t>
              <w:br/>
              <w:t>3.利用围堰、吸附材料围堵拦截，防止泄漏物沿地面扩散</w:t>
              <w:br/>
              <w:t>4.严禁泄漏物进入下水道、管沟等受限空间，防止形成爆炸性混合气体</w:t>
              <w:br/>
              <w:t>5.收集的泄漏物交有资质单位处置，被污染的吸附材料按危险废物管理</w:t>
              <w:br/>
              <w:t>6.切断雨水排口，将事故水导入事故应急池，防止进入外环境</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4</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二甲苯</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第三部分 有毒液态物质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1.立即停止作业、切断泄漏源，关闭相关阀门或采取堵漏措施</w:t>
              <w:br/>
              <w:t>2.人员佩戴个体防护用品，从上风、侧上风方向进入，避免皮肤直接接触</w:t>
              <w:br/>
              <w:t>3.利用围堰、吸附材料围堵拦截，防止泄漏物扩散</w:t>
              <w:br/>
              <w:t>4.收集的泄漏物交有资质单位处置，被污染的吸附材料按危险废物管理</w:t>
              <w:br/>
              <w:t>5.切断雨水排口，将事故水导入事故应急池，防止进入外环境</w:t>
              <w:br/>
              <w:t>6.立即报告应急指挥部，必要时报告属地生态环境主管部门</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5</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乙酸乙酯</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第四部分 易燃液态物质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1.立即停止作业、切断泄漏源，消除一切火种，使用防爆工具</w:t>
              <w:br/>
              <w:t>2.人员佩戴个体防护用品，避免摩擦、撞击产生火花</w:t>
              <w:br/>
              <w:t>3.利用围堰、吸附材料围堵拦截，防止泄漏物沿地面扩散</w:t>
              <w:br/>
              <w:t>4.严禁泄漏物进入下水道、管沟等受限空间，防止形成爆炸性混合气体</w:t>
              <w:br/>
              <w:t>5.收集的泄漏物交有资质单位处置，被污染的吸附材料按危险废物管理</w:t>
              <w:br/>
              <w:t>6.切断雨水排口，将事故水导入事故应急池，防止进入外环境</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6</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氨水</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第三部分 有毒液态物质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1.立即停止作业、切断泄漏源，关闭相关阀门或采取堵漏措施</w:t>
              <w:br/>
              <w:t>2.人员佩戴个体防护用品，从上风、侧上风方向进入，避免皮肤直接接触</w:t>
              <w:br/>
              <w:t>3.利用围堰、吸附材料围堵拦截，防止泄漏物扩散</w:t>
              <w:br/>
              <w:t>4.收集的泄漏物交有资质单位处置，被污染的吸附材料按危险废物管理</w:t>
              <w:br/>
              <w:t>5.切断雨水排口，将事故水导入事故应急池，防止进入外环境</w:t>
              <w:br/>
              <w:t>6.立即报告应急指挥部，必要时报告属地生态环境主管部门</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7</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次氯酸钠</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第五部分 其他有毒物质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1.立即停止作业、切断泄漏源</w:t>
              <w:br/>
              <w:t>2.人员佩戴个体防护用品，避免皮肤直接接触或吸入粉尘</w:t>
              <w:br/>
              <w:t>3.利用围堰、吸附材料围堵收集，不得用水直接冲洗</w:t>
              <w:br/>
              <w:t>4.收集物按危险废物管理，交有资质单位处置</w:t>
              <w:br/>
              <w:t>5.切断雨水排口，防止泄漏物随雨水进入外环境</w:t>
              <w:br/>
              <w:t>6.立即报告应急指挥部，必要时报告属地生态环境主管部门</w:t>
            </w:r>
          </w:p>
        </w:tc>
      </w:tr>
      <w:tr>
        <w:trPr>
          <w:cantSplit w:val="true"/>
          <w:trHeight w:val="320" w:hRule="atLeast"/>
        </w:trPr>
        <w:tc>
          <w:tcPr>
            <w:tcW w:w="510"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8</w:t>
            </w:r>
          </w:p>
        </w:tc>
        <w:tc>
          <w:tcPr>
            <w:tcW w:w="1247"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硫化氢</w:t>
            </w:r>
          </w:p>
        </w:tc>
        <w:tc>
          <w:tcPr>
            <w:tcW w:w="1361"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第一部分 有毒气态物质</w:t>
            </w:r>
          </w:p>
        </w:tc>
        <w:tc>
          <w:tcPr>
            <w:tcW w:w="5103" w:type="dxa"/>
            <w:tcBorders>
              <w:top w:val="single" w:sz="4" w:space="0" w:color="000000"/>
              <w:start w:val="single" w:sz="4" w:space="0" w:color="000000"/>
              <w:bottom w:val="single" w:sz="4" w:space="0" w:color="000000"/>
              <w:end w:val="single" w:sz="4" w:space="0" w:color="000000"/>
            </w:tcBorders>
            <w:vAlign w:val="center"/>
          </w:tcPr>
          <w:p>
            <w:pPr>
              <w:snapToGrid w:val="0"/>
              <w:spacing w:line="240" w:lineRule="exact" w:before="0" w:after="0"/>
              <w:ind/>
              <w:jc w:val="center"/>
            </w:pPr>
            <w:r>
              <w:rPr>
                <w:rFonts w:ascii="宋体" w:hAnsi="宋体" w:eastAsia="宋体"/>
                <w:sz w:val="21"/>
              </w:rPr>
              <w:t>1.立即停止作业、切断气源，关闭相关阀门，消除一切火种</w:t>
              <w:br/>
              <w:t>2.处置人员佩戴个体防护用品，从上风、侧上风方向进入，严禁在下风方向逗留</w:t>
              <w:br/>
              <w:t>3.用喷雾状水稀释、驱散泄漏气体，严禁使用直流水柱冲击</w:t>
              <w:br/>
              <w:t>4.设置警戒区，组织下风向人员向上风向疏散</w:t>
              <w:br/>
              <w:t>5.切断雨水排口，防止含毒水体进入外环境</w:t>
              <w:br/>
              <w:t>6.现场无法控制时，立即报告应急指挥部并请求属地消防救援、生态环境部门支援</w:t>
            </w:r>
          </w:p>
        </w:tc>
      </w:tr>
    </w:tbl>
    <w:p>
      <w:pPr>
        <w:spacing w:line="500" w:lineRule="exact" w:before="0" w:after="0"/>
        <w:ind w:firstLineChars="200"/>
        <w:jc w:val="left"/>
      </w:pPr>
      <w:r>
        <w:rPr>
          <w:rFonts w:ascii="Times New Roman" w:hAnsi="Times New Roman" w:eastAsia="宋体"/>
          <w:sz w:val="24"/>
        </w:rPr>
        <w:t>上述现场处置均应同步落实事故水控制：切断雨水排口并开启事故水总排口切换阀，将消防废水与泄漏物全部导入事故应急池，经检测达标后委托有资质单位处置，严禁未经处理排入外环境。</w:t>
      </w:r>
    </w:p>
    <w:p>
      <w:r>
        <w:br w:type="page"/>
      </w:r>
    </w:p>
    <w:p>
      <w:pPr>
        <w:pStyle w:val="Heading1"/>
        <w:spacing w:line="500" w:lineRule="exact" w:before="0" w:after="0"/>
        <w:jc w:val="left"/>
        <w:outlineLvl w:val="0"/>
      </w:pPr>
      <w:bookmarkStart w:id="90062" w:name="_Toc90062"/>
      <w:r>
        <w:rPr>
          <w:rFonts w:ascii="Times New Roman" w:hAnsi="Times New Roman" w:eastAsia="宋体"/>
          <w:sz w:val="30"/>
          <w:b/>
        </w:rPr>
        <w:t>附图1：地理位置图</w:t>
      </w:r>
      <w:bookmarkEnd w:id="90062"/>
    </w:p>
    <w:p>
      <w:pPr>
        <w:spacing w:line="500" w:lineRule="exact" w:before="0" w:after="0"/>
        <w:ind w:firstLineChars="200"/>
        <w:jc w:val="left"/>
      </w:pPr>
      <w:r>
        <w:rPr>
          <w:rFonts w:ascii="Times New Roman" w:hAnsi="Times New Roman" w:eastAsia="宋体"/>
          <w:sz w:val="24"/>
        </w:rPr>
        <w:t>本附件应粘贴厂区地理位置图（标明厂区位置及周边道路、敏感点）。</w:t>
      </w:r>
    </w:p>
    <w:p>
      <w:r>
        <w:br w:type="page"/>
      </w:r>
    </w:p>
    <w:p>
      <w:pPr>
        <w:pStyle w:val="Heading1"/>
        <w:spacing w:line="500" w:lineRule="exact" w:before="0" w:after="0"/>
        <w:jc w:val="left"/>
        <w:outlineLvl w:val="0"/>
      </w:pPr>
      <w:bookmarkStart w:id="90063" w:name="_Toc90063"/>
      <w:r>
        <w:rPr>
          <w:rFonts w:ascii="Times New Roman" w:hAnsi="Times New Roman" w:eastAsia="宋体"/>
          <w:sz w:val="30"/>
          <w:b/>
        </w:rPr>
        <w:t>附图2：厂区平面图</w:t>
      </w:r>
      <w:bookmarkEnd w:id="90063"/>
    </w:p>
    <w:p>
      <w:pPr>
        <w:spacing w:line="500" w:lineRule="exact" w:before="0" w:after="0"/>
        <w:ind w:firstLineChars="200"/>
        <w:jc w:val="left"/>
      </w:pPr>
      <w:r>
        <w:rPr>
          <w:rFonts w:ascii="Times New Roman" w:hAnsi="Times New Roman" w:eastAsia="宋体"/>
          <w:sz w:val="24"/>
        </w:rPr>
        <w:t>本附件应粘贴厂区平面布置图（标明生产区、储存区、应急设施位置）。</w:t>
      </w:r>
    </w:p>
    <w:p>
      <w:r>
        <w:br w:type="page"/>
      </w:r>
    </w:p>
    <w:p>
      <w:pPr>
        <w:pStyle w:val="Heading1"/>
        <w:spacing w:line="500" w:lineRule="exact" w:before="0" w:after="0"/>
        <w:jc w:val="left"/>
        <w:outlineLvl w:val="0"/>
      </w:pPr>
      <w:bookmarkStart w:id="90064" w:name="_Toc90064"/>
      <w:r>
        <w:rPr>
          <w:rFonts w:ascii="Times New Roman" w:hAnsi="Times New Roman" w:eastAsia="宋体"/>
          <w:sz w:val="30"/>
          <w:b/>
        </w:rPr>
        <w:t>附图3：厂区周边关系图</w:t>
      </w:r>
      <w:bookmarkEnd w:id="90064"/>
    </w:p>
    <w:p>
      <w:pPr>
        <w:spacing w:line="500" w:lineRule="exact" w:before="0" w:after="0"/>
        <w:ind w:firstLineChars="200"/>
        <w:jc w:val="left"/>
      </w:pPr>
      <w:r>
        <w:rPr>
          <w:rFonts w:ascii="Times New Roman" w:hAnsi="Times New Roman" w:eastAsia="宋体"/>
          <w:sz w:val="24"/>
        </w:rPr>
        <w:t>本附件应粘贴厂区周边关系图（标明周边 500m 范围内环境风险受体）。</w:t>
      </w:r>
    </w:p>
    <w:p>
      <w:r>
        <w:br w:type="page"/>
      </w:r>
    </w:p>
    <w:p>
      <w:pPr>
        <w:pStyle w:val="Heading1"/>
        <w:spacing w:line="500" w:lineRule="exact" w:before="0" w:after="0"/>
        <w:jc w:val="left"/>
        <w:outlineLvl w:val="0"/>
      </w:pPr>
      <w:bookmarkStart w:id="90065" w:name="_Toc90065"/>
      <w:r>
        <w:rPr>
          <w:rFonts w:ascii="Times New Roman" w:hAnsi="Times New Roman" w:eastAsia="宋体"/>
          <w:sz w:val="30"/>
          <w:b/>
        </w:rPr>
        <w:t>附图4：厂区应急设施（备）、应急物资储备分布图</w:t>
      </w:r>
      <w:bookmarkEnd w:id="90065"/>
    </w:p>
    <w:p>
      <w:pPr>
        <w:spacing w:line="500" w:lineRule="exact" w:before="0" w:after="0"/>
        <w:ind w:firstLineChars="200"/>
        <w:jc w:val="left"/>
      </w:pPr>
      <w:r>
        <w:rPr>
          <w:rFonts w:ascii="Times New Roman" w:hAnsi="Times New Roman" w:eastAsia="宋体"/>
          <w:sz w:val="24"/>
        </w:rPr>
        <w:t>本附件应粘贴厂区应急设施（备）、应急物资储备分布图。</w:t>
      </w:r>
    </w:p>
    <w:p>
      <w:r>
        <w:br w:type="page"/>
      </w:r>
    </w:p>
    <w:p>
      <w:pPr>
        <w:pStyle w:val="Heading1"/>
        <w:spacing w:line="500" w:lineRule="exact" w:before="0" w:after="0"/>
        <w:jc w:val="left"/>
        <w:outlineLvl w:val="0"/>
      </w:pPr>
      <w:bookmarkStart w:id="90066" w:name="_Toc90066"/>
      <w:r>
        <w:rPr>
          <w:rFonts w:ascii="Times New Roman" w:hAnsi="Times New Roman" w:eastAsia="宋体"/>
          <w:sz w:val="30"/>
          <w:b/>
        </w:rPr>
        <w:t>附图5：周边敏感点分布图</w:t>
      </w:r>
      <w:bookmarkEnd w:id="90066"/>
    </w:p>
    <w:p>
      <w:pPr>
        <w:spacing w:line="500" w:lineRule="exact" w:before="0" w:after="0"/>
        <w:ind w:firstLineChars="200"/>
        <w:jc w:val="left"/>
      </w:pPr>
      <w:r>
        <w:rPr>
          <w:rFonts w:ascii="Times New Roman" w:hAnsi="Times New Roman" w:eastAsia="宋体"/>
          <w:sz w:val="24"/>
        </w:rPr>
        <w:t>本附件应粘贴周边环境敏感点分布图。</w:t>
      </w:r>
    </w:p>
    <w:p>
      <w:r>
        <w:br w:type="page"/>
      </w:r>
    </w:p>
    <w:p>
      <w:pPr>
        <w:pStyle w:val="Heading1"/>
        <w:spacing w:line="500" w:lineRule="exact" w:before="0" w:after="0"/>
        <w:jc w:val="left"/>
        <w:outlineLvl w:val="0"/>
      </w:pPr>
      <w:bookmarkStart w:id="90067" w:name="_Toc90067"/>
      <w:r>
        <w:rPr>
          <w:rFonts w:ascii="Times New Roman" w:hAnsi="Times New Roman" w:eastAsia="宋体"/>
          <w:sz w:val="30"/>
          <w:b/>
        </w:rPr>
        <w:t>附图6：厂区应急疏散路线分布图</w:t>
      </w:r>
      <w:bookmarkEnd w:id="90067"/>
    </w:p>
    <w:p>
      <w:pPr>
        <w:spacing w:line="500" w:lineRule="exact" w:before="0" w:after="0"/>
        <w:ind w:firstLineChars="200"/>
        <w:jc w:val="left"/>
      </w:pPr>
      <w:r>
        <w:rPr>
          <w:rFonts w:ascii="Times New Roman" w:hAnsi="Times New Roman" w:eastAsia="宋体"/>
          <w:sz w:val="24"/>
        </w:rPr>
        <w:t>本附件应粘贴厂区应急疏散路线分布图。</w:t>
      </w:r>
    </w:p>
    <w:p>
      <w:r>
        <w:br w:type="page"/>
      </w:r>
    </w:p>
    <w:p>
      <w:pPr>
        <w:pStyle w:val="Heading1"/>
        <w:spacing w:line="500" w:lineRule="exact" w:before="0" w:after="0"/>
        <w:jc w:val="left"/>
        <w:outlineLvl w:val="0"/>
      </w:pPr>
      <w:bookmarkStart w:id="90068" w:name="_Toc90068"/>
      <w:r>
        <w:rPr>
          <w:rFonts w:ascii="Times New Roman" w:hAnsi="Times New Roman" w:eastAsia="宋体"/>
          <w:sz w:val="30"/>
          <w:b/>
        </w:rPr>
        <w:t>附图7：厂区雨、污排水管路图</w:t>
      </w:r>
      <w:bookmarkEnd w:id="90068"/>
    </w:p>
    <w:p>
      <w:pPr>
        <w:spacing w:line="500" w:lineRule="exact" w:before="0" w:after="0"/>
        <w:ind w:firstLineChars="200"/>
        <w:jc w:val="left"/>
      </w:pPr>
      <w:r>
        <w:rPr>
          <w:rFonts w:ascii="Times New Roman" w:hAnsi="Times New Roman" w:eastAsia="宋体"/>
          <w:sz w:val="24"/>
        </w:rPr>
        <w:t>本附件应粘贴厂区雨、污排水管路图。</w:t>
      </w:r>
    </w:p>
    <w:sectPr w:rsidR="00FC693F" w:rsidRPr="0006063C" w:rsidSect="00034616">
      <w:headerReference w:type="default" r:id="rId15"/>
      <w:footerReference w:type="default" r:id="rId16"/>
      <w:pgSz w:w="11906" w:h="16838"/>
      <w:pgMar w:top="1440" w:right="1701" w:bottom="1440" w:left="1701" w:header="851" w:footer="1042" w:gutter="0"/>
      <w:cols w:space="720"/>
      <w:docGrid w:type="lines" w:linePitch="312" w:charSpace="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86"/>
    <w:family w:val="auto"/>
    <w:pitch w:val="variable"/>
    <w:sig w:usb0="00000003" w:usb1="080E0000" w:usb2="00000010" w:usb3="00000000" w:csb0="00040001" w:csb1="00000000"/>
  </w:font>
  <w:font w:name="黑体">
    <w:panose1 w:val="02010609060101010101"/>
    <w:charset w:val="86"/>
    <w:family w:val="auto"/>
    <w:pitch w:val="variable"/>
    <w:sig w:usb0="800002BF" w:usb1="38CF7CFA" w:usb2="00000016" w:usb3="00000000" w:csb0="0004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spacing w:before="0" w:after="96" w:line="240" w:lineRule="auto"/>
      <w:jc w:val="center"/>
      <w:rPr>
        <w:rFonts w:ascii="Times New Roman" w:hAnsi="Times New Roman" w:cs="Times New Roman" w:eastAsia="宋体"/>
        <w:sz w:val="18"/>
        <w:szCs w:val="18"/>
      </w:rPr>
    </w:pPr>
    <w:r>
      <w:rPr>
        <w:rFonts w:ascii="Times New Roman" w:hAnsi="Times New Roman" w:eastAsia="宋体"/>
        <w:sz w:val="18"/>
      </w:rPr>
      <w:fldChar w:fldCharType="begin"/>
    </w:r>
    <w:r>
      <w:rPr>
        <w:rFonts w:ascii="Times New Roman" w:hAnsi="Times New Roman" w:eastAsia="宋体"/>
        <w:sz w:val="18"/>
      </w:rPr>
      <w:instrText xml:space="preserve"> PAGE   \* MERGEFORMAT </w:instrText>
    </w:r>
    <w:r>
      <w:rPr>
        <w:rFonts w:ascii="Times New Roman" w:hAnsi="Times New Roman" w:eastAsia="宋体"/>
        <w:sz w:val="18"/>
      </w:rPr>
      <w:fldChar w:fldCharType="separate"/>
    </w:r>
    <w:r>
      <w:rPr>
        <w:rFonts w:ascii="Times New Roman" w:hAnsi="Times New Roman" w:eastAsia="宋体"/>
        <w:sz w:val="18"/>
      </w:rPr>
      <w:t>1</w:t>
    </w:r>
    <w:r>
      <w:rPr>
        <w:rFonts w:ascii="Times New Roman" w:hAnsi="Times New Roman" w:eastAsia="宋体"/>
        <w:sz w:val="18"/>
      </w:rPr>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Bdr>
        <w:bottom w:val="nil"/>
      </w:pBdr>
      <w:jc w:val="cent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Bdr>
        <w:bottom w:val="single" w:sz="6" w:space="1" w:color="000000"/>
      </w:pBdr>
      <w:jc w:val="cent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
</w:hdr>
</file>

<file path=word/header4.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updateFields w:val="tru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imes New Roman" w:hAnsi="Times New Roman" w:eastAsia="黑体" w:cs="Times New Roman"/>
      <w:b/>
      <w:bCs/>
      <w:sz w:val="36"/>
      <w:szCs w:val="36"/>
      <w:color w:val="000000"/>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imes New Roman" w:hAnsi="Times New Roman" w:eastAsia="黑体" w:cs="Times New Roman"/>
      <w:b/>
      <w:bCs/>
      <w:sz w:val="30"/>
      <w:szCs w:val="30"/>
      <w:color w:val="000000"/>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imes New Roman" w:hAnsi="Times New Roman" w:eastAsia="黑体" w:cs="Times New Roman"/>
      <w:b/>
      <w:bCs/>
      <w:sz w:val="26"/>
      <w:szCs w:val="26"/>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pPr>
      <w:tabs>
        <w:tab w:val="clear" w:pos="420"/>
        <w:tab w:val="right" w:pos="8494" w:leader="dot"/>
      </w:tabs>
      <w:spacing w:lineRule="exact" w:line="500"/>
    </w:pPr>
    <w:rPr>
      <w:rFonts w:ascii="Times New Roman" w:hAnsi="Times New Roman" w:cs="Times New Roman" w:eastAsia="宋体"/>
      <w:b/>
      <w:sz w:val="24"/>
      <w:szCs w:val="24"/>
    </w:rPr>
  </w:style>
  <w:style w:type="paragraph" w:styleId="TOC2">
    <w:name w:val="toc 2"/>
    <w:pPr>
      <w:tabs>
        <w:tab w:val="clear" w:pos="420"/>
        <w:tab w:val="right" w:pos="8494" w:leader="dot"/>
      </w:tabs>
      <w:spacing w:lineRule="exact" w:line="500"/>
    </w:pPr>
    <w:rPr>
      <w:rFonts w:ascii="Times New Roman" w:hAnsi="Times New Roman" w:cs="Times New Roman" w:eastAsia="宋体"/>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宋体" w:hAnsi="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eastAsia="宋体" w:hAnsi="Times New Roman" w:cs="Times New Roman"/>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宋体"/>
        <a:cs typeface="Times New Roman"/>
        <a:font script="Hans" typeface="宋体"/>
      </a:majorFont>
      <a:minorFont>
        <a:latin typeface="Times New Roman"/>
        <a:ea typeface="宋体"/>
        <a:cs typeface="Times New Roman"/>
        <a:font script="Hans" typeface="宋体"/>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