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before="2548" w:after="0"/>
        <w:jc w:val="center"/>
      </w:pPr>
      <w:r>
        <w:rPr>
          <w:rFonts w:ascii="Times New Roman" w:hAnsi="Times New Roman" w:eastAsia="宋体"/>
          <w:sz w:val="48"/>
          <w:b/>
        </w:rPr>
        <w:t>泰安示例新材料科技有限公司</w:t>
      </w:r>
    </w:p>
    <w:p>
      <w:pPr>
        <w:spacing w:line="240" w:lineRule="auto" w:before="628" w:after="0"/>
        <w:jc w:val="center"/>
      </w:pPr>
      <w:r>
        <w:rPr>
          <w:rFonts w:ascii="Times New Roman" w:hAnsi="Times New Roman" w:eastAsia="宋体"/>
          <w:sz w:val="52"/>
          <w:b/>
        </w:rPr>
        <w:t>突发环境事件应急预案</w:t>
      </w:r>
    </w:p>
    <w:p>
      <w:pPr>
        <w:spacing w:line="240" w:lineRule="auto" w:before="1244" w:after="0"/>
        <w:jc w:val="center"/>
      </w:pPr>
      <w:r>
        <w:rPr>
          <w:rFonts w:ascii="Times New Roman" w:hAnsi="Times New Roman" w:eastAsia="宋体"/>
          <w:sz w:val="52"/>
          <w:b/>
        </w:rPr>
        <w:t>编制说明</w:t>
      </w:r>
    </w:p>
    <w:p>
      <w:pPr>
        <w:spacing w:line="4660" w:lineRule="exact" w:before="0" w:after="0"/>
        <w:jc w:val="center"/>
      </w:pPr>
      <w:r>
        <w:rPr>
          <w:rFonts w:ascii="Times New Roman" w:hAnsi="Times New Roman" w:eastAsia="宋体"/>
          <w:sz w:val="24"/>
        </w:rPr>
      </w:r>
    </w:p>
    <w:p>
      <w:pPr>
        <w:spacing w:line="240" w:lineRule="auto" w:before="0" w:after="0"/>
        <w:jc w:val="center"/>
      </w:pPr>
      <w:r>
        <w:rPr>
          <w:rFonts w:ascii="Times New Roman" w:hAnsi="Times New Roman" w:eastAsia="宋体"/>
          <w:sz w:val="36"/>
          <w:b/>
        </w:rPr>
        <w:t>泰安示例新材料科技有限公司</w:t>
      </w:r>
    </w:p>
    <w:p>
      <w:pPr>
        <w:spacing w:line="240" w:lineRule="auto" w:before="320" w:after="0"/>
        <w:jc w:val="center"/>
      </w:pPr>
      <w:r>
        <w:rPr>
          <w:rFonts w:ascii="Times New Roman" w:hAnsi="Times New Roman" w:eastAsia="宋体"/>
          <w:sz w:val="36"/>
          <w:b/>
        </w:rPr>
        <w:t>编制日期：2026年10月</w:t>
      </w:r>
    </w:p>
    <w:p>
      <w:r>
        <w:br w:type="page"/>
      </w:r>
    </w:p>
    <w:p>
      <w:pPr>
        <w:spacing w:line="624" w:lineRule="exact" w:before="0" w:after="0"/>
        <w:jc w:val="center"/>
      </w:pPr>
      <w:r>
        <w:rPr>
          <w:rFonts w:ascii="Times New Roman" w:hAnsi="Times New Roman" w:eastAsia="宋体"/>
          <w:sz w:val="28"/>
        </w:rPr>
        <w:t>目    录</w:t>
      </w:r>
    </w:p>
    <w:p>
      <w:pPr>
        <w:pStyle w:val="TOC1"/>
        <w:spacing w:before="0" w:after="0" w:line="360" w:lineRule="auto"/>
        <w:jc w:val="left"/>
      </w:pPr>
      <w:hyperlink w:anchor="_Toc90001">
        <w:r>
          <w:t xml:space="preserve">1 编制过程概述</w:t>
        </w:r>
      </w:hyperlink>
      <w:r>
        <w:tab/>
      </w:r>
      <w:r>
        <w:fldChar w:fldCharType="begin"/>
      </w:r>
      <w:r>
        <w:instrText xml:space="preserve"> PAGEREF _Toc90001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 w:line="360" w:lineRule="auto"/>
        <w:jc w:val="left"/>
      </w:pPr>
      <w:hyperlink w:anchor="_Toc90002">
        <w:r>
          <w:t xml:space="preserve">1.1 编制背景</w:t>
        </w:r>
      </w:hyperlink>
      <w:r>
        <w:tab/>
      </w:r>
      <w:r>
        <w:fldChar w:fldCharType="begin"/>
      </w:r>
      <w:r>
        <w:instrText xml:space="preserve"> PAGEREF _Toc90002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 w:line="360" w:lineRule="auto"/>
        <w:jc w:val="left"/>
      </w:pPr>
      <w:hyperlink w:anchor="_Toc90003">
        <w:r>
          <w:t xml:space="preserve">1.2 预案编制的简要过程</w:t>
        </w:r>
      </w:hyperlink>
      <w:r>
        <w:tab/>
      </w:r>
      <w:r>
        <w:fldChar w:fldCharType="begin"/>
      </w:r>
      <w:r>
        <w:instrText xml:space="preserve"> PAGEREF _Toc90003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 w:line="360" w:lineRule="auto"/>
        <w:jc w:val="left"/>
      </w:pPr>
      <w:hyperlink w:anchor="_Toc90004">
        <w:r>
          <w:t xml:space="preserve">2 重点内容说明</w:t>
        </w:r>
      </w:hyperlink>
      <w:r>
        <w:tab/>
      </w:r>
      <w:r>
        <w:fldChar w:fldCharType="begin"/>
      </w:r>
      <w:r>
        <w:instrText xml:space="preserve"> PAGEREF _Toc90004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 w:line="360" w:lineRule="auto"/>
        <w:jc w:val="left"/>
      </w:pPr>
      <w:hyperlink w:anchor="_Toc90005">
        <w:r>
          <w:t xml:space="preserve">3 征求意见及采纳情况说明</w:t>
        </w:r>
      </w:hyperlink>
      <w:r>
        <w:tab/>
      </w:r>
      <w:r>
        <w:fldChar w:fldCharType="begin"/>
      </w:r>
      <w:r>
        <w:instrText xml:space="preserve"> PAGEREF _Toc90005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 w:line="360" w:lineRule="auto"/>
        <w:jc w:val="left"/>
      </w:pPr>
      <w:hyperlink w:anchor="_Toc90006">
        <w:r>
          <w:t xml:space="preserve">3.1 征求意见情况</w:t>
        </w:r>
      </w:hyperlink>
      <w:r>
        <w:tab/>
      </w:r>
      <w:r>
        <w:fldChar w:fldCharType="begin"/>
      </w:r>
      <w:r>
        <w:instrText xml:space="preserve"> PAGEREF _Toc90006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 w:line="360" w:lineRule="auto"/>
        <w:jc w:val="left"/>
      </w:pPr>
      <w:hyperlink w:anchor="_Toc90007">
        <w:r>
          <w:t xml:space="preserve">3.2 修改、采纳情况</w:t>
        </w:r>
      </w:hyperlink>
      <w:r>
        <w:tab/>
      </w:r>
      <w:r>
        <w:fldChar w:fldCharType="begin"/>
      </w:r>
      <w:r>
        <w:instrText xml:space="preserve"> PAGEREF _Toc90007 \h </w:instrText>
      </w:r>
      <w:r>
        <w:fldChar w:fldCharType="separate"/>
      </w:r>
      <w:r>
        <w:t>1</w:t>
      </w:r>
      <w:r>
        <w:fldChar w:fldCharType="end"/>
      </w:r>
    </w:p>
    <w:p>
      <w:pPr>
        <w:pStyle w:val="TOC1"/>
        <w:spacing w:before="0" w:after="0" w:line="360" w:lineRule="auto"/>
        <w:jc w:val="left"/>
      </w:pPr>
      <w:hyperlink w:anchor="_Toc90008">
        <w:r>
          <w:t xml:space="preserve">4 评审情况说明</w:t>
        </w:r>
      </w:hyperlink>
      <w:r>
        <w:tab/>
      </w:r>
      <w:r>
        <w:fldChar w:fldCharType="begin"/>
      </w:r>
      <w:r>
        <w:instrText xml:space="preserve"> PAGEREF _Toc90008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 w:line="360" w:lineRule="auto"/>
        <w:jc w:val="left"/>
      </w:pPr>
      <w:hyperlink w:anchor="_Toc90009">
        <w:r>
          <w:t xml:space="preserve">4.1 评审情况</w:t>
        </w:r>
      </w:hyperlink>
      <w:r>
        <w:tab/>
      </w:r>
      <w:r>
        <w:fldChar w:fldCharType="begin"/>
      </w:r>
      <w:r>
        <w:instrText xml:space="preserve"> PAGEREF _Toc90009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spacing w:before="0" w:after="0" w:line="360" w:lineRule="auto"/>
        <w:jc w:val="left"/>
      </w:pPr>
      <w:hyperlink w:anchor="_Toc90010">
        <w:r>
          <w:t xml:space="preserve">4.2 修改情况</w:t>
        </w:r>
      </w:hyperlink>
      <w:r>
        <w:tab/>
      </w:r>
      <w:r>
        <w:fldChar w:fldCharType="begin"/>
      </w:r>
      <w:r>
        <w:instrText xml:space="preserve"> PAGEREF _Toc90010 \h </w:instrText>
      </w:r>
      <w:r>
        <w:fldChar w:fldCharType="separate"/>
      </w:r>
      <w:r>
        <w:t>1</w:t>
      </w:r>
      <w:r>
        <w:fldChar w:fldCharType="end"/>
      </w:r>
    </w:p>
    <w:p>
      <w:pPr>
        <w:sectPr>
          <w:headerReference w:type="default" r:id="rId9"/>
          <w:footerReference w:type="default" r:id="rId10"/>
          <w:type w:val="nextPage"/>
          <w:pgSz w:w="11906" w:h="16838"/>
          <w:pgMar w:top="1440" w:right="1701" w:bottom="1440" w:left="1701" w:header="851" w:footer="992" w:gutter="0"/>
          <w:cols w:space="720"/>
          <w:docGrid w:type="lines" w:linePitch="312" w:charSpace="0"/>
        </w:sectPr>
      </w:pPr>
    </w:p>
    <w:p>
      <w:pPr>
        <w:pStyle w:val="Heading1"/>
        <w:spacing w:line="500" w:lineRule="exact" w:before="0" w:after="0"/>
        <w:jc w:val="left"/>
        <w:outlineLvl w:val="0"/>
      </w:pPr>
      <w:bookmarkStart w:id="90001" w:name="_Toc90001"/>
      <w:r>
        <w:rPr>
          <w:rFonts w:ascii="Times New Roman" w:hAnsi="Times New Roman" w:eastAsia="宋体"/>
          <w:sz w:val="30"/>
          <w:b/>
        </w:rPr>
        <w:t>1 编制过程概述</w:t>
      </w:r>
      <w:bookmarkEnd w:id="90001"/>
    </w:p>
    <w:p>
      <w:pPr>
        <w:pStyle w:val="Heading2"/>
        <w:spacing w:line="500" w:lineRule="exact" w:before="0" w:after="0"/>
        <w:jc w:val="left"/>
        <w:outlineLvl w:val="1"/>
      </w:pPr>
      <w:bookmarkStart w:id="90002" w:name="_Toc90002"/>
      <w:r>
        <w:rPr>
          <w:rFonts w:ascii="Times New Roman" w:hAnsi="Times New Roman" w:eastAsia="宋体"/>
          <w:sz w:val="28"/>
          <w:b/>
        </w:rPr>
        <w:t>1.1 编制背景</w:t>
      </w:r>
      <w:bookmarkEnd w:id="90002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生态环境部先后颁发了《企业事业单位突发环境事件应急预案评审工作指南（试行）》（环办应急〔2018〕8号）、《企业突发环境事件风险分级方法》（HJ 941-2018）、《环境应急资源调查指南（试行）》（环办应急〔2019〕17号），对企业应急预案备案工作提出了新的管理要求。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为适应管理要求，提高应对突发环境事件的能力，最大限度减少企业突发事故伴随的环境影响，制定了《泰安示例新材料科技有限公司突发环境事件应急预案》。</w:t>
      </w:r>
    </w:p>
    <w:p>
      <w:pPr>
        <w:pStyle w:val="Heading2"/>
        <w:spacing w:line="500" w:lineRule="exact" w:before="0" w:after="0"/>
        <w:jc w:val="left"/>
        <w:outlineLvl w:val="1"/>
      </w:pPr>
      <w:bookmarkStart w:id="90003" w:name="_Toc90003"/>
      <w:r>
        <w:rPr>
          <w:rFonts w:ascii="Times New Roman" w:hAnsi="Times New Roman" w:eastAsia="宋体"/>
          <w:sz w:val="28"/>
          <w:b/>
        </w:rPr>
        <w:t>1.2 预案编制的简要过程</w:t>
      </w:r>
      <w:bookmarkEnd w:id="90003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根据《企业事业单位突发环境事件应急预案备案管理办法（试行）》的要求，本单位成立应急预案编制小组，由主要负责人任组长，同时抽调技术骨干力量，组成编制小组。预案编制程序如下：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（1）成立应急预案编制小组，明确工作职责和任务分工。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（2）收集企业地理位置、周边环境风险受体等资料，排查可能造成环境污染的物质，分析生产运营工艺过程中的风险环节，确定环境风险等级，编制《泰安示例新材料科技有限公司环境风险评估报告》。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（3）调查企业内部、外部应对环境事件的人员、物资、联系方式，编制《泰安示例新材料科技有限公司环境应急资源调查报告》。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（4）在公司组织架构基础上，确立应急指挥体系，组建应急队伍。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（5）在风险评估的基础上，建立应急响应程序，确立应急响应分级处置程序。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（6）根据风险目标的不同，细化各应急情况下的应急处置措施。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（7）应急预案初稿形成后，由主要负责人组织推演，并在公司内部评审和征求意见，根据意见对预案进行修改完善。</w:t>
      </w:r>
    </w:p>
    <w:p>
      <w:pPr>
        <w:pStyle w:val="Heading1"/>
        <w:spacing w:line="500" w:lineRule="exact" w:before="0" w:after="0"/>
        <w:jc w:val="left"/>
        <w:outlineLvl w:val="0"/>
      </w:pPr>
      <w:bookmarkStart w:id="90004" w:name="_Toc90004"/>
      <w:r>
        <w:rPr>
          <w:rFonts w:ascii="Times New Roman" w:hAnsi="Times New Roman" w:eastAsia="宋体"/>
          <w:sz w:val="30"/>
          <w:b/>
        </w:rPr>
        <w:t>2 重点内容说明</w:t>
      </w:r>
      <w:bookmarkEnd w:id="90004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（1）公司基本情况</w:t>
      </w:r>
    </w:p>
    <w:p>
      <w:pPr>
        <w:keepNext w:val="true"/>
        <w:spacing w:line="500" w:lineRule="exact" w:before="0" w:after="0"/>
        <w:jc w:val="center"/>
      </w:pPr>
      <w:r>
        <w:rPr>
          <w:rFonts w:ascii="宋体" w:hAnsi="宋体" w:eastAsia="宋体"/>
          <w:sz w:val="24"/>
          <w:b/>
        </w:rPr>
        <w:t>表2-1 企业基本情况表</w:t>
      </w:r>
    </w:p>
    <w:tbl>
      <w:tblPr>
        <w:tblStyle w:val="TableGrid"/>
        <w:tblLook w:firstColumn="1" w:firstRow="1" w:lastColumn="0" w:lastRow="0" w:noHBand="0" w:noVBand="1" w:val="04A0"/>
        <w:tblW w:w="822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2520"/>
        <w:gridCol w:w="5702"/>
      </w:tblGrid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企业名称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泰安示例新材料科技有限公司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统一社会信用代码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91370911MA3XXXXXXX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法定代表人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李某某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单位所在地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山东省泰安市岱岳区某工业园区兴业路18号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中心经度、纬度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117.04,36.02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所属行业类别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化学原料和化学制品制造业（C26）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建厂年月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2014年5月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企业规模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小型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厂区面积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15000平方米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从业人数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68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主要联系方式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0538-866XXXX</w:t>
            </w:r>
          </w:p>
        </w:tc>
      </w:tr>
      <w:tr>
        <w:trPr>
          <w:cantSplit w:val="true"/>
          <w:trHeight w:val="320" w:hRule="atLeast"/>
        </w:trPr>
        <w:tc>
          <w:tcPr>
            <w:tcW w:w="25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备案编号</w:t>
            </w:r>
          </w:p>
        </w:tc>
        <w:tc>
          <w:tcPr>
            <w:tcW w:w="57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370911-2026-035-H</w:t>
            </w:r>
          </w:p>
        </w:tc>
      </w:tr>
    </w:tbl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（2）环境风险等级结论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依据《企业突发环境事件风险分级方法》（HJ 941-2018），对公司环境风险物质数量与临界量比值Q值及环境风险受体敏感性E值进行计算。经系统计算，涉气Q值为13.5200，属Q2级别；涉水Q值为13.9000，属Q2级别。大气环境风险受体敏感性E值为E2，水环境风险受体敏感性E值为E1。按照HJ 941-2018风险分级矩阵，结合Q值与E值判定，公司环境风险等级为重大级。该等级表明公司环境风险物质存在量较大，且周边分布有王家村（东北420米，约240户、约800人）、园区管委会（南900米，常驻约120人）、某河（西1.2公里，下游10公里涉及基本农田保护区）及某镇集中供水水源井（西8000米，位于某河下游10公里范围内）等环境风险受体，一旦发生泄漏、火灾、爆炸等事故，可能对周边大气、水体及土壤环境造成较严重影响，须按重大环境风险等级落实各项风险防控与应急措施。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（3）需重点说明的其他内容</w:t>
      </w:r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本预案的适用范围、组织指挥体系、预防与预警机制、应急处置措施等内容，均在预案正文中逐章说明。</w:t>
      </w:r>
    </w:p>
    <w:p>
      <w:pPr>
        <w:pStyle w:val="Heading1"/>
        <w:spacing w:line="500" w:lineRule="exact" w:before="0" w:after="0"/>
        <w:jc w:val="left"/>
        <w:outlineLvl w:val="0"/>
      </w:pPr>
      <w:bookmarkStart w:id="90005" w:name="_Toc90005"/>
      <w:r>
        <w:rPr>
          <w:rFonts w:ascii="Times New Roman" w:hAnsi="Times New Roman" w:eastAsia="宋体"/>
          <w:sz w:val="30"/>
          <w:b/>
        </w:rPr>
        <w:t>3 征求意见及采纳情况说明</w:t>
      </w:r>
      <w:bookmarkEnd w:id="90005"/>
    </w:p>
    <w:p>
      <w:pPr>
        <w:pStyle w:val="Heading2"/>
        <w:spacing w:line="500" w:lineRule="exact" w:before="0" w:after="0"/>
        <w:jc w:val="left"/>
        <w:outlineLvl w:val="1"/>
      </w:pPr>
      <w:bookmarkStart w:id="90006" w:name="_Toc90006"/>
      <w:r>
        <w:rPr>
          <w:rFonts w:ascii="Times New Roman" w:hAnsi="Times New Roman" w:eastAsia="宋体"/>
          <w:sz w:val="28"/>
          <w:b/>
        </w:rPr>
        <w:t>3.1 征求意见情况</w:t>
      </w:r>
      <w:bookmarkEnd w:id="90006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本单位向内部各部门及周边相关单位征求了对本预案的意见，征求意见以书面和会议方式进行。</w:t>
      </w:r>
    </w:p>
    <w:p>
      <w:pPr>
        <w:pStyle w:val="Heading2"/>
        <w:spacing w:line="500" w:lineRule="exact" w:before="0" w:after="0"/>
        <w:jc w:val="left"/>
        <w:outlineLvl w:val="1"/>
      </w:pPr>
      <w:bookmarkStart w:id="90007" w:name="_Toc90007"/>
      <w:r>
        <w:rPr>
          <w:rFonts w:ascii="Times New Roman" w:hAnsi="Times New Roman" w:eastAsia="宋体"/>
          <w:sz w:val="28"/>
          <w:b/>
        </w:rPr>
        <w:t>3.2 修改、采纳情况</w:t>
      </w:r>
      <w:bookmarkEnd w:id="90007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对征求到的意见逐条研究，其中采纳的意见已在预案中修改完善；未采纳的意见已向提出人说明理由。</w:t>
      </w:r>
    </w:p>
    <w:p>
      <w:pPr>
        <w:keepNext w:val="true"/>
        <w:spacing w:line="500" w:lineRule="exact" w:before="0" w:after="0"/>
        <w:jc w:val="center"/>
      </w:pPr>
      <w:r>
        <w:rPr>
          <w:rFonts w:ascii="宋体" w:hAnsi="宋体" w:eastAsia="宋体"/>
          <w:sz w:val="24"/>
          <w:b/>
        </w:rPr>
        <w:t>表3-1 推演暴露问题及建议清单</w:t>
      </w:r>
    </w:p>
    <w:tbl>
      <w:tblPr>
        <w:tblStyle w:val="TableGrid"/>
        <w:tblLook w:firstColumn="1" w:firstRow="1" w:lastColumn="0" w:lastRow="0" w:noHBand="0" w:noVBand="1" w:val="04A0"/>
        <w:tblW w:w="822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617"/>
        <w:gridCol w:w="1644"/>
        <w:gridCol w:w="2569"/>
        <w:gridCol w:w="1233"/>
        <w:gridCol w:w="2158"/>
      </w:tblGrid>
      <w:tr>
        <w:trPr>
          <w:cantSplit w:val="true"/>
          <w:trHeight w:val="320" w:hRule="atLeast"/>
          <w:tblHeader w:val="true"/>
        </w:trPr>
        <w:tc>
          <w:tcPr>
            <w:tcW w:w="6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序号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提出单位/部门</w:t>
            </w:r>
          </w:p>
        </w:tc>
        <w:tc>
          <w:tcPr>
            <w:tcW w:w="25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意见内容</w:t>
            </w:r>
          </w:p>
        </w:tc>
        <w:tc>
          <w:tcPr>
            <w:tcW w:w="12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采纳情况</w:t>
            </w:r>
          </w:p>
        </w:tc>
        <w:tc>
          <w:tcPr>
            <w:tcW w:w="2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修改说明</w:t>
            </w:r>
          </w:p>
        </w:tc>
      </w:tr>
      <w:tr>
        <w:trPr>
          <w:cantSplit w:val="true"/>
          <w:trHeight w:val="320" w:hRule="atLeast"/>
        </w:trPr>
        <w:tc>
          <w:tcPr>
            <w:tcW w:w="6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1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  <w:color w:val="C00000"/>
              </w:rPr>
              <w:t>【待用户填：提出单位】</w:t>
            </w:r>
          </w:p>
        </w:tc>
        <w:tc>
          <w:tcPr>
            <w:tcW w:w="25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  <w:color w:val="C00000"/>
              </w:rPr>
              <w:t>【待用户填：意见内容】</w:t>
            </w:r>
          </w:p>
        </w:tc>
        <w:tc>
          <w:tcPr>
            <w:tcW w:w="12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  <w:color w:val="C00000"/>
              </w:rPr>
              <w:t>【待用户填：采纳情况】</w:t>
            </w:r>
          </w:p>
        </w:tc>
        <w:tc>
          <w:tcPr>
            <w:tcW w:w="2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</w:r>
          </w:p>
        </w:tc>
      </w:tr>
      <w:tr>
        <w:trPr>
          <w:cantSplit w:val="true"/>
          <w:trHeight w:val="320" w:hRule="atLeast"/>
        </w:trPr>
        <w:tc>
          <w:tcPr>
            <w:tcW w:w="6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  <w:t>2</w:t>
            </w:r>
          </w:p>
        </w:tc>
        <w:tc>
          <w:tcPr>
            <w:tcW w:w="164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  <w:color w:val="C00000"/>
              </w:rPr>
              <w:t>【待用户填：提出单位】</w:t>
            </w:r>
          </w:p>
        </w:tc>
        <w:tc>
          <w:tcPr>
            <w:tcW w:w="25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  <w:color w:val="C00000"/>
              </w:rPr>
              <w:t>【待用户填：意见内容】</w:t>
            </w:r>
          </w:p>
        </w:tc>
        <w:tc>
          <w:tcPr>
            <w:tcW w:w="123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  <w:color w:val="C00000"/>
              </w:rPr>
              <w:t>【待用户填：采纳情况】</w:t>
            </w:r>
          </w:p>
        </w:tc>
        <w:tc>
          <w:tcPr>
            <w:tcW w:w="215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snapToGrid w:val="0"/>
              <w:spacing w:line="240" w:lineRule="exact" w:before="0" w:after="0"/>
              <w:ind/>
              <w:jc w:val="center"/>
            </w:pPr>
            <w:r>
              <w:rPr>
                <w:rFonts w:ascii="宋体" w:hAnsi="宋体" w:eastAsia="宋体"/>
                <w:sz w:val="21"/>
              </w:rPr>
            </w:r>
          </w:p>
        </w:tc>
      </w:tr>
    </w:tbl>
    <w:p>
      <w:pPr>
        <w:pStyle w:val="Heading1"/>
        <w:spacing w:line="500" w:lineRule="exact" w:before="0" w:after="0"/>
        <w:jc w:val="left"/>
        <w:outlineLvl w:val="0"/>
      </w:pPr>
      <w:bookmarkStart w:id="90008" w:name="_Toc90008"/>
      <w:r>
        <w:rPr>
          <w:rFonts w:ascii="Times New Roman" w:hAnsi="Times New Roman" w:eastAsia="宋体"/>
          <w:sz w:val="30"/>
          <w:b/>
        </w:rPr>
        <w:t>4 评审情况说明</w:t>
      </w:r>
      <w:bookmarkEnd w:id="90008"/>
    </w:p>
    <w:p>
      <w:pPr>
        <w:pStyle w:val="Heading2"/>
        <w:spacing w:line="500" w:lineRule="exact" w:before="0" w:after="0"/>
        <w:jc w:val="left"/>
        <w:outlineLvl w:val="1"/>
      </w:pPr>
      <w:bookmarkStart w:id="90009" w:name="_Toc90009"/>
      <w:r>
        <w:rPr>
          <w:rFonts w:ascii="Times New Roman" w:hAnsi="Times New Roman" w:eastAsia="宋体"/>
          <w:sz w:val="28"/>
          <w:b/>
        </w:rPr>
        <w:t>4.1 评审情况</w:t>
      </w:r>
      <w:bookmarkEnd w:id="90009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本单位组织评审人员对本预案进行了评审，评审采用查阅资料、现场核查与会议评审相结合的方式进行。</w:t>
      </w:r>
    </w:p>
    <w:p>
      <w:pPr>
        <w:pStyle w:val="Heading2"/>
        <w:spacing w:line="500" w:lineRule="exact" w:before="0" w:after="0"/>
        <w:jc w:val="left"/>
        <w:outlineLvl w:val="1"/>
      </w:pPr>
      <w:bookmarkStart w:id="90010" w:name="_Toc90010"/>
      <w:r>
        <w:rPr>
          <w:rFonts w:ascii="Times New Roman" w:hAnsi="Times New Roman" w:eastAsia="宋体"/>
          <w:sz w:val="28"/>
          <w:b/>
        </w:rPr>
        <w:t>4.2 修改情况</w:t>
      </w:r>
      <w:bookmarkEnd w:id="90010"/>
    </w:p>
    <w:p>
      <w:pPr>
        <w:spacing w:line="500" w:lineRule="exact" w:before="0" w:after="0"/>
        <w:ind w:firstLineChars="200"/>
        <w:jc w:val="left"/>
      </w:pPr>
      <w:r>
        <w:rPr>
          <w:rFonts w:ascii="Times New Roman" w:hAnsi="Times New Roman" w:eastAsia="宋体"/>
          <w:sz w:val="24"/>
        </w:rPr>
        <w:t>根据评审意见对本预案进行了修改完善，修改后经批准人签署发布。</w:t>
      </w:r>
    </w:p>
    <w:sectPr w:rsidR="00FC693F" w:rsidRPr="0006063C" w:rsidSect="00034616">
      <w:headerReference w:type="default" r:id="rId11"/>
      <w:footerReference w:type="default" r:id="rId12"/>
      <w:pgSz w:w="11906" w:h="16838"/>
      <w:pgMar w:top="1134" w:right="1814" w:bottom="1191" w:left="1814" w:header="851" w:footer="992" w:gutter="0"/>
      <w:cols w:space="720"/>
      <w:docGrid w:type="lines" w:linePitch="312" w:charSpace="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/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spacing w:before="0" w:after="96" w:line="240" w:lineRule="auto"/>
      <w:jc w:val="center"/>
      <w:rPr>
        <w:rFonts w:ascii="Times New Roman" w:hAnsi="Times New Roman" w:cs="Times New Roman" w:eastAsia="宋体"/>
        <w:sz w:val="18"/>
        <w:szCs w:val="18"/>
      </w:rPr>
    </w:pPr>
    <w:r>
      <w:rPr>
        <w:rFonts w:ascii="Times New Roman" w:hAnsi="Times New Roman" w:eastAsia="宋体"/>
        <w:sz w:val="18"/>
      </w:rPr>
      <w:fldChar w:fldCharType="begin"/>
    </w:r>
    <w:r>
      <w:rPr>
        <w:rFonts w:ascii="Times New Roman" w:hAnsi="Times New Roman" w:eastAsia="宋体"/>
        <w:sz w:val="18"/>
      </w:rPr>
      <w:instrText xml:space="preserve"> PAGE   \* MERGEFORMAT </w:instrText>
    </w:r>
    <w:r>
      <w:rPr>
        <w:rFonts w:ascii="Times New Roman" w:hAnsi="Times New Roman" w:eastAsia="宋体"/>
        <w:sz w:val="18"/>
      </w:rPr>
      <w:fldChar w:fldCharType="separate"/>
    </w:r>
    <w:r>
      <w:rPr>
        <w:rFonts w:ascii="Times New Roman" w:hAnsi="Times New Roman" w:eastAsia="宋体"/>
        <w:sz w:val="18"/>
      </w:rPr>
      <w:t>1</w:t>
    </w:r>
    <w:r>
      <w:rPr>
        <w:rFonts w:ascii="Times New Roman" w:hAnsi="Times New Roman" w:eastAsia="宋体"/>
        <w:sz w:val="18"/>
      </w:rPr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/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/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updateFields w:val="true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Times New Roman" w:hAnsi="Times New Roman" w:eastAsia="黑体" w:cs="Times New Roman"/>
      <w:b/>
      <w:bCs/>
      <w:sz w:val="36"/>
      <w:szCs w:val="36"/>
      <w:color w:val="00000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Times New Roman" w:hAnsi="Times New Roman" w:eastAsia="黑体" w:cs="Times New Roman"/>
      <w:b/>
      <w:bCs/>
      <w:sz w:val="30"/>
      <w:szCs w:val="30"/>
      <w:color w:val="00000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Times New Roman" w:hAnsi="Times New Roman" w:eastAsia="黑体" w:cs="Times New Roman"/>
      <w:b/>
      <w:bCs/>
      <w:sz w:val="26"/>
      <w:szCs w:val="26"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宋体" w:hAnsi="Times New Roman" w:cs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eastAsia="宋体" w:hAnsi="Times New Roman" w:cs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OC1">
    <w:name w:val="toc 1"/>
    <w:pPr>
      <w:tabs>
        <w:tab w:val="clear" w:pos="420"/>
        <w:tab w:val="right" w:pos="8494" w:leader="dot"/>
      </w:tabs>
      <w:spacing w:lineRule="exact" w:line="500"/>
    </w:pPr>
    <w:rPr>
      <w:rFonts w:ascii="Times New Roman" w:hAnsi="Times New Roman" w:cs="Times New Roman" w:eastAsia="宋体"/>
      <w:b/>
      <w:sz w:val="24"/>
      <w:szCs w:val="24"/>
    </w:rPr>
  </w:style>
  <w:style w:type="paragraph" w:styleId="TOC2">
    <w:name w:val="toc 2"/>
    <w:pPr>
      <w:tabs>
        <w:tab w:val="clear" w:pos="420"/>
        <w:tab w:val="right" w:pos="8494" w:leader="dot"/>
      </w:tabs>
      <w:spacing w:lineRule="exact" w:line="500"/>
    </w:pPr>
    <w:rPr>
      <w:rFonts w:ascii="Times New Roman" w:hAnsi="Times New Roman" w:cs="Times New Roman" w:eastAsia="宋体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宋体" w:hAnsi="Times New Roman" w:cs="Times New Roman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Times New Roman" w:eastAsia="宋体" w:hAnsi="Times New Roman" w:cs="Times New Roman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宋体"/>
        <a:cs typeface="Times New Roman"/>
        <a:font script="Hans" typeface="宋体"/>
      </a:majorFont>
      <a:minorFont>
        <a:latin typeface="Times New Roman"/>
        <a:ea typeface="宋体"/>
        <a:cs typeface="Times New Roman"/>
        <a:font script="Hans" typeface="宋体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