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line="360" w:lineRule="auto"/>
      </w:pPr>
    </w:p>
    <w:p>
      <w:pPr>
        <w:spacing w:after="120" w:line="360" w:lineRule="auto"/>
      </w:pPr>
    </w:p>
    <w:p>
      <w:pPr>
        <w:spacing w:after="120" w:line="360" w:lineRule="auto"/>
      </w:pPr>
    </w:p>
    <w:p>
      <w:pPr>
        <w:spacing w:after="120" w:line="360" w:lineRule="auto"/>
      </w:pPr>
    </w:p>
    <w:p>
      <w:pPr>
        <w:spacing w:after="360" w:line="360" w:lineRule="auto"/>
        <w:jc w:val="center"/>
      </w:pPr>
      <w:r>
        <w:rPr>
          <w:rFonts w:ascii="黑体" w:hAnsi="黑体" w:eastAsia="黑体"/>
          <w:b/>
          <w:sz w:val="44"/>
        </w:rPr>
        <w:t>泰安示例机械有限公司</w:t>
      </w:r>
    </w:p>
    <w:p>
      <w:pPr>
        <w:spacing w:after="600" w:line="360" w:lineRule="auto"/>
        <w:jc w:val="center"/>
      </w:pPr>
      <w:r>
        <w:rPr>
          <w:rFonts w:ascii="黑体" w:hAnsi="黑体" w:eastAsia="黑体"/>
          <w:b/>
          <w:sz w:val="52"/>
        </w:rPr>
        <w:t>生产安全事故风险评估报告</w:t>
      </w:r>
    </w:p>
    <w:p>
      <w:pPr>
        <w:spacing w:after="120" w:line="360" w:lineRule="auto"/>
      </w:pPr>
    </w:p>
    <w:p>
      <w:pPr>
        <w:spacing w:after="120" w:line="360" w:lineRule="auto"/>
      </w:pPr>
    </w:p>
    <w:p>
      <w:pPr>
        <w:spacing w:after="120" w:line="360" w:lineRule="auto"/>
      </w:pPr>
    </w:p>
    <w:p>
      <w:pPr>
        <w:spacing w:after="120" w:line="360" w:lineRule="auto"/>
      </w:pPr>
    </w:p>
    <w:p>
      <w:pPr>
        <w:spacing w:after="120" w:line="360" w:lineRule="auto"/>
      </w:pPr>
    </w:p>
    <w:p>
      <w:pPr>
        <w:spacing w:after="120" w:line="360" w:lineRule="auto"/>
      </w:pPr>
    </w:p>
    <w:p>
      <w:pPr>
        <w:spacing w:after="200"/>
        <w:jc w:val="center"/>
      </w:pPr>
      <w:r>
        <w:rPr>
          <w:rFonts w:ascii="宋体" w:hAnsi="宋体" w:eastAsia="宋体"/>
          <w:b w:val="0"/>
          <w:sz w:val="28"/>
        </w:rPr>
        <w:t>编制单位：  泰安示例机械有限公司</w:t>
      </w:r>
    </w:p>
    <w:p>
      <w:pPr>
        <w:spacing w:after="200"/>
        <w:jc w:val="center"/>
      </w:pPr>
      <w:r>
        <w:rPr>
          <w:rFonts w:ascii="宋体" w:hAnsi="宋体" w:eastAsia="宋体"/>
          <w:b w:val="0"/>
          <w:color w:val="C0392B"/>
          <w:sz w:val="28"/>
        </w:rPr>
        <w:t>单位负责人：  【待用户填】</w:t>
      </w:r>
    </w:p>
    <w:p>
      <w:pPr>
        <w:spacing w:after="200"/>
        <w:jc w:val="center"/>
      </w:pPr>
      <w:r>
        <w:rPr>
          <w:rFonts w:ascii="宋体" w:hAnsi="宋体" w:eastAsia="宋体"/>
          <w:b w:val="0"/>
          <w:color w:val="C0392B"/>
          <w:sz w:val="28"/>
        </w:rPr>
        <w:t>评估人员：  【待用户填】</w:t>
      </w:r>
    </w:p>
    <w:p>
      <w:pPr>
        <w:spacing w:after="200"/>
        <w:jc w:val="center"/>
      </w:pPr>
      <w:r>
        <w:rPr>
          <w:rFonts w:ascii="宋体" w:hAnsi="宋体" w:eastAsia="宋体"/>
          <w:b w:val="0"/>
          <w:sz w:val="28"/>
        </w:rPr>
        <w:t>编制日期：  2026年9月12日</w:t>
      </w:r>
    </w:p>
    <w:p>
      <w:r>
        <w:br w:type="page"/>
      </w:r>
    </w:p>
    <w:p>
      <w:pPr>
        <w:spacing w:after="120" w:line="360" w:lineRule="auto"/>
        <w:ind w:firstLine="480"/>
      </w:pPr>
      <w:r>
        <w:rPr>
          <w:rFonts w:ascii="宋体" w:hAnsi="宋体" w:eastAsia="宋体"/>
          <w:b w:val="0"/>
          <w:sz w:val="24"/>
        </w:rPr>
        <w:t>依据《中华人民共和国安全生产法》《生产安全事故应急预案管理办法》（应急管理部令〔2019〕第2号）、《生产经营单位生产安全事故应急预案编制导则》（GB/T 29639-2020）等法律法规和标准规范的要求，编制应急预案前应当开展风险评估。为全面辨识本公司生产过程中存在的危险有害因素，分析可能发生的事故类型及危害程度，确定风险等级，为应急预案的编制提供依据，特开展本次风险评估。</w:t>
      </w:r>
    </w:p>
    <w:p>
      <w:pPr>
        <w:spacing w:before="240" w:after="120" w:line="360" w:lineRule="auto"/>
      </w:pPr>
      <w:r>
        <w:rPr>
          <w:rFonts w:ascii="黑体" w:hAnsi="黑体" w:eastAsia="黑体"/>
          <w:b/>
          <w:sz w:val="32"/>
        </w:rPr>
        <w:t>1 危险有害因素辨识</w:t>
      </w:r>
    </w:p>
    <w:p>
      <w:pPr>
        <w:spacing w:before="160" w:after="120" w:line="360" w:lineRule="auto"/>
      </w:pPr>
      <w:r>
        <w:rPr>
          <w:rFonts w:ascii="黑体" w:hAnsi="黑体" w:eastAsia="黑体"/>
          <w:b/>
          <w:sz w:val="28"/>
        </w:rPr>
        <w:t>1.1 公司基本概况</w:t>
      </w:r>
    </w:p>
    <w:p>
      <w:pPr>
        <w:spacing w:after="120" w:line="360" w:lineRule="auto"/>
        <w:ind w:firstLine="480"/>
      </w:pPr>
      <w:r>
        <w:rPr>
          <w:rFonts w:ascii="宋体" w:hAnsi="宋体" w:eastAsia="宋体"/>
          <w:b w:val="0"/>
          <w:sz w:val="24"/>
        </w:rPr>
        <w:t>本公司所属行业：机械制造。主要从事：机械零部件的加工与制造，涵盖下料、机加工、焊接、喷漆、装配等工序。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单位名称</w:t>
            </w:r>
          </w:p>
        </w:tc>
        <w:tc>
          <w:tcPr>
            <w:tcW w:type="dxa" w:w="6236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泰安示例机械有限公司</w:t>
            </w:r>
          </w:p>
        </w:tc>
      </w:tr>
      <w:tr>
        <w:tc>
          <w:tcPr>
            <w:tcW w:type="dxa" w:w="255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单位地址</w:t>
            </w:r>
          </w:p>
        </w:tc>
        <w:tc>
          <w:tcPr>
            <w:tcW w:type="dxa" w:w="6236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color w:val="C0392B"/>
                <w:sz w:val="21"/>
              </w:rPr>
              <w:t>【待用户填】</w:t>
            </w:r>
          </w:p>
        </w:tc>
      </w:tr>
      <w:tr>
        <w:tc>
          <w:tcPr>
            <w:tcW w:type="dxa" w:w="255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主要从事业务</w:t>
            </w:r>
          </w:p>
        </w:tc>
        <w:tc>
          <w:tcPr>
            <w:tcW w:type="dxa" w:w="6236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机械零部件的加工与制造，涵盖下料、机加工、焊接、喷漆、装配等工序</w:t>
            </w:r>
          </w:p>
        </w:tc>
      </w:tr>
      <w:tr>
        <w:tc>
          <w:tcPr>
            <w:tcW w:type="dxa" w:w="255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统一社会信用代码</w:t>
            </w:r>
          </w:p>
        </w:tc>
        <w:tc>
          <w:tcPr>
            <w:tcW w:type="dxa" w:w="6236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color w:val="C0392B"/>
                <w:sz w:val="21"/>
              </w:rPr>
              <w:t>【待用户填】</w:t>
            </w:r>
          </w:p>
        </w:tc>
      </w:tr>
      <w:tr>
        <w:tc>
          <w:tcPr>
            <w:tcW w:type="dxa" w:w="255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行业类别</w:t>
            </w:r>
          </w:p>
        </w:tc>
        <w:tc>
          <w:tcPr>
            <w:tcW w:type="dxa" w:w="6236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机械制造</w:t>
            </w:r>
          </w:p>
        </w:tc>
      </w:tr>
      <w:tr>
        <w:tc>
          <w:tcPr>
            <w:tcW w:type="dxa" w:w="255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从业人数</w:t>
            </w:r>
          </w:p>
        </w:tc>
        <w:tc>
          <w:tcPr>
            <w:tcW w:type="dxa" w:w="6236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color w:val="C0392B"/>
                <w:sz w:val="21"/>
              </w:rPr>
              <w:t>【待用户填】</w:t>
            </w:r>
          </w:p>
        </w:tc>
      </w:tr>
    </w:tbl>
    <w:p>
      <w:pPr>
        <w:spacing w:after="120" w:line="360" w:lineRule="auto"/>
        <w:jc w:val="center"/>
      </w:pPr>
      <w:r>
        <w:rPr>
          <w:rFonts w:ascii="宋体" w:hAnsi="宋体" w:eastAsia="宋体"/>
          <w:b w:val="0"/>
          <w:sz w:val="20"/>
        </w:rPr>
        <w:t>表1-1  企业基本信息表</w:t>
      </w:r>
    </w:p>
    <w:p>
      <w:pPr>
        <w:spacing w:before="160" w:after="120" w:line="360" w:lineRule="auto"/>
      </w:pPr>
      <w:r>
        <w:rPr>
          <w:rFonts w:ascii="黑体" w:hAnsi="黑体" w:eastAsia="黑体"/>
          <w:b/>
          <w:sz w:val="28"/>
        </w:rPr>
        <w:t>1.2 公司生产工艺流程</w:t>
      </w:r>
    </w:p>
    <w:p>
      <w:pPr>
        <w:spacing w:after="120" w:line="360" w:lineRule="auto"/>
        <w:ind w:firstLine="480"/>
      </w:pPr>
      <w:r>
        <w:rPr>
          <w:rFonts w:ascii="宋体" w:hAnsi="宋体" w:eastAsia="宋体"/>
          <w:b w:val="0"/>
          <w:sz w:val="24"/>
        </w:rPr>
        <w:t>下料、机加工、焊接、喷漆、装配</w:t>
      </w:r>
    </w:p>
    <w:p>
      <w:pPr>
        <w:spacing w:before="160" w:after="120" w:line="360" w:lineRule="auto"/>
      </w:pPr>
      <w:r>
        <w:rPr>
          <w:rFonts w:ascii="黑体" w:hAnsi="黑体" w:eastAsia="黑体"/>
          <w:b/>
          <w:sz w:val="28"/>
        </w:rPr>
        <w:t>1.3 公司主要装置和设备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69"/>
        <w:gridCol w:w="1769"/>
        <w:gridCol w:w="1769"/>
        <w:gridCol w:w="1769"/>
        <w:gridCol w:w="1769"/>
      </w:tblGrid>
      <w:tr>
        <w:tc>
          <w:tcPr>
            <w:tcW w:type="dxa" w:w="680"/>
            <w:shd w:val="clear" w:fill="D9E2F3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sz w:val="21"/>
              </w:rPr>
              <w:t>序号</w:t>
            </w:r>
          </w:p>
        </w:tc>
        <w:tc>
          <w:tcPr>
            <w:tcW w:type="dxa" w:w="3118"/>
            <w:shd w:val="clear" w:fill="D9E2F3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sz w:val="21"/>
              </w:rPr>
              <w:t>设备名称</w:t>
            </w:r>
          </w:p>
        </w:tc>
        <w:tc>
          <w:tcPr>
            <w:tcW w:type="dxa" w:w="1984"/>
            <w:shd w:val="clear" w:fill="D9E2F3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sz w:val="21"/>
              </w:rPr>
              <w:t>规格型号</w:t>
            </w:r>
          </w:p>
        </w:tc>
        <w:tc>
          <w:tcPr>
            <w:tcW w:type="dxa" w:w="1134"/>
            <w:shd w:val="clear" w:fill="D9E2F3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sz w:val="21"/>
              </w:rPr>
              <w:t>数量</w:t>
            </w:r>
          </w:p>
        </w:tc>
        <w:tc>
          <w:tcPr>
            <w:tcW w:type="dxa" w:w="1871"/>
            <w:shd w:val="clear" w:fill="D9E2F3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sz w:val="21"/>
              </w:rPr>
              <w:t>地点</w:t>
            </w:r>
          </w:p>
        </w:tc>
      </w:tr>
      <w:tr>
        <w:tc>
          <w:tcPr>
            <w:tcW w:type="dxa" w:w="680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1</w:t>
            </w:r>
          </w:p>
        </w:tc>
        <w:tc>
          <w:tcPr>
            <w:tcW w:type="dxa" w:w="3118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行车</w:t>
            </w:r>
          </w:p>
        </w:tc>
        <w:tc>
          <w:tcPr>
            <w:tcW w:type="dxa" w:w="1984"/>
          </w:tcPr>
          <w:p>
            <w:pPr>
              <w:spacing w:line="312" w:lineRule="auto"/>
            </w:pPr>
            <w:r/>
          </w:p>
        </w:tc>
        <w:tc>
          <w:tcPr>
            <w:tcW w:type="dxa" w:w="1134"/>
          </w:tcPr>
          <w:p>
            <w:pPr>
              <w:spacing w:line="312" w:lineRule="auto"/>
            </w:pPr>
            <w:r/>
          </w:p>
        </w:tc>
        <w:tc>
          <w:tcPr>
            <w:tcW w:type="dxa" w:w="1871"/>
          </w:tcPr>
          <w:p>
            <w:pPr>
              <w:spacing w:line="312" w:lineRule="auto"/>
            </w:pPr>
            <w:r/>
          </w:p>
        </w:tc>
      </w:tr>
      <w:tr>
        <w:tc>
          <w:tcPr>
            <w:tcW w:type="dxa" w:w="680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2</w:t>
            </w:r>
          </w:p>
        </w:tc>
        <w:tc>
          <w:tcPr>
            <w:tcW w:type="dxa" w:w="3118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叉车</w:t>
            </w:r>
          </w:p>
        </w:tc>
        <w:tc>
          <w:tcPr>
            <w:tcW w:type="dxa" w:w="1984"/>
          </w:tcPr>
          <w:p>
            <w:pPr>
              <w:spacing w:line="312" w:lineRule="auto"/>
            </w:pPr>
            <w:r/>
          </w:p>
        </w:tc>
        <w:tc>
          <w:tcPr>
            <w:tcW w:type="dxa" w:w="1134"/>
          </w:tcPr>
          <w:p>
            <w:pPr>
              <w:spacing w:line="312" w:lineRule="auto"/>
            </w:pPr>
            <w:r/>
          </w:p>
        </w:tc>
        <w:tc>
          <w:tcPr>
            <w:tcW w:type="dxa" w:w="1871"/>
          </w:tcPr>
          <w:p>
            <w:pPr>
              <w:spacing w:line="312" w:lineRule="auto"/>
            </w:pPr>
            <w:r/>
          </w:p>
        </w:tc>
      </w:tr>
      <w:tr>
        <w:tc>
          <w:tcPr>
            <w:tcW w:type="dxa" w:w="680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3</w:t>
            </w:r>
          </w:p>
        </w:tc>
        <w:tc>
          <w:tcPr>
            <w:tcW w:type="dxa" w:w="3118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数控切割机</w:t>
            </w:r>
          </w:p>
        </w:tc>
        <w:tc>
          <w:tcPr>
            <w:tcW w:type="dxa" w:w="1984"/>
          </w:tcPr>
          <w:p>
            <w:pPr>
              <w:spacing w:line="312" w:lineRule="auto"/>
            </w:pPr>
            <w:r/>
          </w:p>
        </w:tc>
        <w:tc>
          <w:tcPr>
            <w:tcW w:type="dxa" w:w="1134"/>
          </w:tcPr>
          <w:p>
            <w:pPr>
              <w:spacing w:line="312" w:lineRule="auto"/>
            </w:pPr>
            <w:r/>
          </w:p>
        </w:tc>
        <w:tc>
          <w:tcPr>
            <w:tcW w:type="dxa" w:w="1871"/>
          </w:tcPr>
          <w:p>
            <w:pPr>
              <w:spacing w:line="312" w:lineRule="auto"/>
            </w:pPr>
            <w:r/>
          </w:p>
        </w:tc>
      </w:tr>
      <w:tr>
        <w:tc>
          <w:tcPr>
            <w:tcW w:type="dxa" w:w="680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4</w:t>
            </w:r>
          </w:p>
        </w:tc>
        <w:tc>
          <w:tcPr>
            <w:tcW w:type="dxa" w:w="3118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普通车床</w:t>
            </w:r>
          </w:p>
        </w:tc>
        <w:tc>
          <w:tcPr>
            <w:tcW w:type="dxa" w:w="1984"/>
          </w:tcPr>
          <w:p>
            <w:pPr>
              <w:spacing w:line="312" w:lineRule="auto"/>
            </w:pPr>
            <w:r/>
          </w:p>
        </w:tc>
        <w:tc>
          <w:tcPr>
            <w:tcW w:type="dxa" w:w="1134"/>
          </w:tcPr>
          <w:p>
            <w:pPr>
              <w:spacing w:line="312" w:lineRule="auto"/>
            </w:pPr>
            <w:r/>
          </w:p>
        </w:tc>
        <w:tc>
          <w:tcPr>
            <w:tcW w:type="dxa" w:w="1871"/>
          </w:tcPr>
          <w:p>
            <w:pPr>
              <w:spacing w:line="312" w:lineRule="auto"/>
            </w:pPr>
            <w:r/>
          </w:p>
        </w:tc>
      </w:tr>
      <w:tr>
        <w:tc>
          <w:tcPr>
            <w:tcW w:type="dxa" w:w="680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5</w:t>
            </w:r>
          </w:p>
        </w:tc>
        <w:tc>
          <w:tcPr>
            <w:tcW w:type="dxa" w:w="3118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摇臂钻床</w:t>
            </w:r>
          </w:p>
        </w:tc>
        <w:tc>
          <w:tcPr>
            <w:tcW w:type="dxa" w:w="1984"/>
          </w:tcPr>
          <w:p>
            <w:pPr>
              <w:spacing w:line="312" w:lineRule="auto"/>
            </w:pPr>
            <w:r/>
          </w:p>
        </w:tc>
        <w:tc>
          <w:tcPr>
            <w:tcW w:type="dxa" w:w="1134"/>
          </w:tcPr>
          <w:p>
            <w:pPr>
              <w:spacing w:line="312" w:lineRule="auto"/>
            </w:pPr>
            <w:r/>
          </w:p>
        </w:tc>
        <w:tc>
          <w:tcPr>
            <w:tcW w:type="dxa" w:w="1871"/>
          </w:tcPr>
          <w:p>
            <w:pPr>
              <w:spacing w:line="312" w:lineRule="auto"/>
            </w:pPr>
            <w:r/>
          </w:p>
        </w:tc>
      </w:tr>
      <w:tr>
        <w:tc>
          <w:tcPr>
            <w:tcW w:type="dxa" w:w="680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6</w:t>
            </w:r>
          </w:p>
        </w:tc>
        <w:tc>
          <w:tcPr>
            <w:tcW w:type="dxa" w:w="3118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CO2保护焊机</w:t>
            </w:r>
          </w:p>
        </w:tc>
        <w:tc>
          <w:tcPr>
            <w:tcW w:type="dxa" w:w="1984"/>
          </w:tcPr>
          <w:p>
            <w:pPr>
              <w:spacing w:line="312" w:lineRule="auto"/>
            </w:pPr>
            <w:r/>
          </w:p>
        </w:tc>
        <w:tc>
          <w:tcPr>
            <w:tcW w:type="dxa" w:w="1134"/>
          </w:tcPr>
          <w:p>
            <w:pPr>
              <w:spacing w:line="312" w:lineRule="auto"/>
            </w:pPr>
            <w:r/>
          </w:p>
        </w:tc>
        <w:tc>
          <w:tcPr>
            <w:tcW w:type="dxa" w:w="1871"/>
          </w:tcPr>
          <w:p>
            <w:pPr>
              <w:spacing w:line="312" w:lineRule="auto"/>
            </w:pPr>
            <w:r/>
          </w:p>
        </w:tc>
      </w:tr>
      <w:tr>
        <w:tc>
          <w:tcPr>
            <w:tcW w:type="dxa" w:w="680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7</w:t>
            </w:r>
          </w:p>
        </w:tc>
        <w:tc>
          <w:tcPr>
            <w:tcW w:type="dxa" w:w="3118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折弯机</w:t>
            </w:r>
          </w:p>
        </w:tc>
        <w:tc>
          <w:tcPr>
            <w:tcW w:type="dxa" w:w="1984"/>
          </w:tcPr>
          <w:p>
            <w:pPr>
              <w:spacing w:line="312" w:lineRule="auto"/>
            </w:pPr>
            <w:r/>
          </w:p>
        </w:tc>
        <w:tc>
          <w:tcPr>
            <w:tcW w:type="dxa" w:w="1134"/>
          </w:tcPr>
          <w:p>
            <w:pPr>
              <w:spacing w:line="312" w:lineRule="auto"/>
            </w:pPr>
            <w:r/>
          </w:p>
        </w:tc>
        <w:tc>
          <w:tcPr>
            <w:tcW w:type="dxa" w:w="1871"/>
          </w:tcPr>
          <w:p>
            <w:pPr>
              <w:spacing w:line="312" w:lineRule="auto"/>
            </w:pPr>
            <w:r/>
          </w:p>
        </w:tc>
      </w:tr>
      <w:tr>
        <w:tc>
          <w:tcPr>
            <w:tcW w:type="dxa" w:w="680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8</w:t>
            </w:r>
          </w:p>
        </w:tc>
        <w:tc>
          <w:tcPr>
            <w:tcW w:type="dxa" w:w="3118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抛丸机</w:t>
            </w:r>
          </w:p>
        </w:tc>
        <w:tc>
          <w:tcPr>
            <w:tcW w:type="dxa" w:w="1984"/>
          </w:tcPr>
          <w:p>
            <w:pPr>
              <w:spacing w:line="312" w:lineRule="auto"/>
            </w:pPr>
            <w:r/>
          </w:p>
        </w:tc>
        <w:tc>
          <w:tcPr>
            <w:tcW w:type="dxa" w:w="1134"/>
          </w:tcPr>
          <w:p>
            <w:pPr>
              <w:spacing w:line="312" w:lineRule="auto"/>
            </w:pPr>
            <w:r/>
          </w:p>
        </w:tc>
        <w:tc>
          <w:tcPr>
            <w:tcW w:type="dxa" w:w="1871"/>
          </w:tcPr>
          <w:p>
            <w:pPr>
              <w:spacing w:line="312" w:lineRule="auto"/>
            </w:pPr>
            <w:r/>
          </w:p>
        </w:tc>
      </w:tr>
      <w:tr>
        <w:tc>
          <w:tcPr>
            <w:tcW w:type="dxa" w:w="680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9</w:t>
            </w:r>
          </w:p>
        </w:tc>
        <w:tc>
          <w:tcPr>
            <w:tcW w:type="dxa" w:w="3118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喷漆房</w:t>
            </w:r>
          </w:p>
        </w:tc>
        <w:tc>
          <w:tcPr>
            <w:tcW w:type="dxa" w:w="1984"/>
          </w:tcPr>
          <w:p>
            <w:pPr>
              <w:spacing w:line="312" w:lineRule="auto"/>
            </w:pPr>
            <w:r/>
          </w:p>
        </w:tc>
        <w:tc>
          <w:tcPr>
            <w:tcW w:type="dxa" w:w="1134"/>
          </w:tcPr>
          <w:p>
            <w:pPr>
              <w:spacing w:line="312" w:lineRule="auto"/>
            </w:pPr>
            <w:r/>
          </w:p>
        </w:tc>
        <w:tc>
          <w:tcPr>
            <w:tcW w:type="dxa" w:w="1871"/>
          </w:tcPr>
          <w:p>
            <w:pPr>
              <w:spacing w:line="312" w:lineRule="auto"/>
            </w:pPr>
            <w:r/>
          </w:p>
        </w:tc>
      </w:tr>
      <w:tr>
        <w:tc>
          <w:tcPr>
            <w:tcW w:type="dxa" w:w="680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10</w:t>
            </w:r>
          </w:p>
        </w:tc>
        <w:tc>
          <w:tcPr>
            <w:tcW w:type="dxa" w:w="3118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空压机</w:t>
            </w:r>
          </w:p>
        </w:tc>
        <w:tc>
          <w:tcPr>
            <w:tcW w:type="dxa" w:w="1984"/>
          </w:tcPr>
          <w:p>
            <w:pPr>
              <w:spacing w:line="312" w:lineRule="auto"/>
            </w:pPr>
            <w:r/>
          </w:p>
        </w:tc>
        <w:tc>
          <w:tcPr>
            <w:tcW w:type="dxa" w:w="1134"/>
          </w:tcPr>
          <w:p>
            <w:pPr>
              <w:spacing w:line="312" w:lineRule="auto"/>
            </w:pPr>
            <w:r/>
          </w:p>
        </w:tc>
        <w:tc>
          <w:tcPr>
            <w:tcW w:type="dxa" w:w="1871"/>
          </w:tcPr>
          <w:p>
            <w:pPr>
              <w:spacing w:line="312" w:lineRule="auto"/>
            </w:pPr>
            <w:r/>
          </w:p>
        </w:tc>
      </w:tr>
      <w:tr>
        <w:tc>
          <w:tcPr>
            <w:tcW w:type="dxa" w:w="680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11</w:t>
            </w:r>
          </w:p>
        </w:tc>
        <w:tc>
          <w:tcPr>
            <w:tcW w:type="dxa" w:w="3118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起重机械（行车）（特种设备）</w:t>
            </w:r>
          </w:p>
        </w:tc>
        <w:tc>
          <w:tcPr>
            <w:tcW w:type="dxa" w:w="1984"/>
          </w:tcPr>
          <w:p>
            <w:pPr>
              <w:spacing w:line="312" w:lineRule="auto"/>
            </w:pPr>
            <w:r/>
          </w:p>
        </w:tc>
        <w:tc>
          <w:tcPr>
            <w:tcW w:type="dxa" w:w="1134"/>
          </w:tcPr>
          <w:p>
            <w:pPr>
              <w:spacing w:line="312" w:lineRule="auto"/>
            </w:pPr>
            <w:r/>
          </w:p>
        </w:tc>
        <w:tc>
          <w:tcPr>
            <w:tcW w:type="dxa" w:w="1871"/>
          </w:tcPr>
          <w:p>
            <w:pPr>
              <w:spacing w:line="312" w:lineRule="auto"/>
            </w:pPr>
            <w:r/>
          </w:p>
        </w:tc>
      </w:tr>
      <w:tr>
        <w:tc>
          <w:tcPr>
            <w:tcW w:type="dxa" w:w="680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12</w:t>
            </w:r>
          </w:p>
        </w:tc>
        <w:tc>
          <w:tcPr>
            <w:tcW w:type="dxa" w:w="3118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叉车（特种设备）</w:t>
            </w:r>
          </w:p>
        </w:tc>
        <w:tc>
          <w:tcPr>
            <w:tcW w:type="dxa" w:w="1984"/>
          </w:tcPr>
          <w:p>
            <w:pPr>
              <w:spacing w:line="312" w:lineRule="auto"/>
            </w:pPr>
            <w:r/>
          </w:p>
        </w:tc>
        <w:tc>
          <w:tcPr>
            <w:tcW w:type="dxa" w:w="1134"/>
          </w:tcPr>
          <w:p>
            <w:pPr>
              <w:spacing w:line="312" w:lineRule="auto"/>
            </w:pPr>
            <w:r/>
          </w:p>
        </w:tc>
        <w:tc>
          <w:tcPr>
            <w:tcW w:type="dxa" w:w="1871"/>
          </w:tcPr>
          <w:p>
            <w:pPr>
              <w:spacing w:line="312" w:lineRule="auto"/>
            </w:pPr>
            <w:r/>
          </w:p>
        </w:tc>
      </w:tr>
    </w:tbl>
    <w:p>
      <w:pPr>
        <w:spacing w:after="120" w:line="360" w:lineRule="auto"/>
        <w:jc w:val="center"/>
      </w:pPr>
      <w:r>
        <w:rPr>
          <w:rFonts w:ascii="宋体" w:hAnsi="宋体" w:eastAsia="宋体"/>
          <w:b w:val="0"/>
          <w:sz w:val="20"/>
        </w:rPr>
        <w:t>表1-2  公司主要生产设备情况一览表</w:t>
      </w:r>
    </w:p>
    <w:p>
      <w:pPr>
        <w:spacing w:before="160" w:after="120" w:line="360" w:lineRule="auto"/>
      </w:pPr>
      <w:r>
        <w:rPr>
          <w:rFonts w:ascii="黑体" w:hAnsi="黑体" w:eastAsia="黑体"/>
          <w:b/>
          <w:sz w:val="28"/>
        </w:rPr>
        <w:t>1.4 危险化学品及重大危险源辨识</w:t>
      </w:r>
    </w:p>
    <w:p>
      <w:pPr>
        <w:spacing w:after="120" w:line="360" w:lineRule="auto"/>
        <w:ind w:firstLine="480"/>
      </w:pPr>
      <w:r>
        <w:rPr>
          <w:rFonts w:ascii="宋体" w:hAnsi="宋体" w:eastAsia="宋体"/>
          <w:b w:val="0"/>
          <w:sz w:val="24"/>
        </w:rPr>
        <w:t>依据《危险化学品目录》（2015版）逐项判定，泰安示例机械有限公司生产过程中涉及的物料包括钢材、焊丝、油漆、稀释剂、润滑油、压缩空气等。其中，喷漆工序使用的油漆及稀释剂通常含有甲苯、二甲苯、醇类等有机溶剂，属于易燃液体，列入《危险化学品目录》（2015版），因此企业涉及危险化学品。经辨识，企业不涉及易制毒化学品、高毒物品、易制爆化学品、监控化学品；焊接烟尘、抛丸粉尘等不属于可燃性粉尘，故不涉及可燃性粉尘。企业涉及的重点监管危险化学品为油漆、稀释剂等易燃液体，但储存量较小，未达到《危险化学品重大危险源辨识》（GB 18218-2018）的临界量。</w:t>
      </w:r>
    </w:p>
    <w:p>
      <w:pPr>
        <w:spacing w:before="160" w:after="120" w:line="360" w:lineRule="auto"/>
      </w:pPr>
      <w:r>
        <w:rPr>
          <w:rFonts w:ascii="黑体" w:hAnsi="黑体" w:eastAsia="黑体"/>
          <w:b/>
          <w:sz w:val="24"/>
        </w:rPr>
        <w:t>1.4.1 重大危险源辨识</w:t>
      </w:r>
    </w:p>
    <w:p>
      <w:pPr>
        <w:spacing w:after="120" w:line="360" w:lineRule="auto"/>
        <w:ind w:firstLine="480"/>
      </w:pPr>
      <w:r>
        <w:rPr>
          <w:rFonts w:ascii="宋体" w:hAnsi="宋体" w:eastAsia="宋体"/>
          <w:b w:val="0"/>
          <w:sz w:val="24"/>
        </w:rPr>
        <w:t>根据《危险化学品重大危险源辨识》（GB 18218-2018），危险化学品重大危险源是指长期地或临时地生产、储存、使用和经营危险化学品，且危险化学品的数量等于或超过临界量的单元。</w:t>
      </w:r>
    </w:p>
    <w:p>
      <w:pPr>
        <w:spacing w:after="120" w:line="360" w:lineRule="auto"/>
        <w:ind w:firstLine="480"/>
      </w:pPr>
      <w:r>
        <w:rPr>
          <w:rFonts w:ascii="宋体" w:hAnsi="宋体" w:eastAsia="宋体"/>
          <w:b w:val="0"/>
          <w:sz w:val="24"/>
        </w:rPr>
        <w:t>依据《危险化学品重大危险源辨识》（GB 18218-2018），企业涉及的危险化学品主要为喷漆工序使用的油漆、稀释剂等易燃液体。经核算，其储存量远低于标准规定的临界量（如甲苯临界量为500吨，实际储存量通常不足0.5吨），因此未构成危险化学品重大危险源。企业无其他危险化学品重大危险源。</w:t>
      </w:r>
    </w:p>
    <w:p>
      <w:pPr>
        <w:spacing w:before="240" w:after="120" w:line="360" w:lineRule="auto"/>
      </w:pPr>
      <w:r>
        <w:rPr>
          <w:rFonts w:ascii="黑体" w:hAnsi="黑体" w:eastAsia="黑体"/>
          <w:b/>
          <w:sz w:val="32"/>
        </w:rPr>
        <w:t>2 事故风险分析</w:t>
      </w:r>
    </w:p>
    <w:p>
      <w:pPr>
        <w:spacing w:after="120" w:line="360" w:lineRule="auto"/>
        <w:ind w:firstLine="480"/>
      </w:pPr>
      <w:r>
        <w:rPr>
          <w:rFonts w:ascii="宋体" w:hAnsi="宋体" w:eastAsia="宋体"/>
          <w:b w:val="0"/>
          <w:sz w:val="24"/>
        </w:rPr>
        <w:t>根据本公司行业特点、生产工艺流程、生产设备设施、涉及的物料性质，参照《企业职工伤亡事故分类》（GB 6441），对本公司可能发生的事故类型进行分析，结果见表2-1。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1474"/>
        <w:gridCol w:w="1474"/>
        <w:gridCol w:w="1474"/>
        <w:gridCol w:w="1474"/>
        <w:gridCol w:w="1474"/>
      </w:tblGrid>
      <w:tr>
        <w:tc>
          <w:tcPr>
            <w:tcW w:type="dxa" w:w="567"/>
            <w:shd w:val="clear" w:fill="D9E2F3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sz w:val="18"/>
              </w:rPr>
              <w:t>序号</w:t>
            </w:r>
          </w:p>
        </w:tc>
        <w:tc>
          <w:tcPr>
            <w:tcW w:type="dxa" w:w="1134"/>
            <w:shd w:val="clear" w:fill="D9E2F3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sz w:val="18"/>
              </w:rPr>
              <w:t>事故风险类型</w:t>
            </w:r>
          </w:p>
        </w:tc>
        <w:tc>
          <w:tcPr>
            <w:tcW w:type="dxa" w:w="1587"/>
            <w:shd w:val="clear" w:fill="D9E2F3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sz w:val="18"/>
              </w:rPr>
              <w:t>区域、地点、装置</w:t>
            </w:r>
          </w:p>
        </w:tc>
        <w:tc>
          <w:tcPr>
            <w:tcW w:type="dxa" w:w="2381"/>
            <w:shd w:val="clear" w:fill="D9E2F3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sz w:val="18"/>
              </w:rPr>
              <w:t>危险有害因素分析</w:t>
            </w:r>
          </w:p>
        </w:tc>
        <w:tc>
          <w:tcPr>
            <w:tcW w:type="dxa" w:w="1361"/>
            <w:shd w:val="clear" w:fill="D9E2F3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sz w:val="18"/>
              </w:rPr>
              <w:t>事故发生的可能性</w:t>
            </w:r>
          </w:p>
        </w:tc>
        <w:tc>
          <w:tcPr>
            <w:tcW w:type="dxa" w:w="1757"/>
            <w:shd w:val="clear" w:fill="D9E2F3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sz w:val="18"/>
              </w:rPr>
              <w:t>危害后果和影响范围</w:t>
            </w:r>
          </w:p>
        </w:tc>
      </w:tr>
      <w:tr>
        <w:tc>
          <w:tcPr>
            <w:tcW w:type="dxa" w:w="56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13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物体打击</w:t>
            </w:r>
          </w:p>
        </w:tc>
        <w:tc>
          <w:tcPr>
            <w:tcW w:type="dxa" w:w="158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下料、机加工、焊接、装配等工序，涉及行车、叉车、数控切割机、普通车床、摇臂钻床、CO2保护焊机、折弯机、抛丸机等设备设施</w:t>
            </w:r>
          </w:p>
        </w:tc>
        <w:tc>
          <w:tcPr>
            <w:tcW w:type="dxa" w:w="238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1. 工件、物料在搬运、装卸、加工过程中因放置不稳、捆绑不牢、堆垛超高发生坠落或倒塌。2. 行车吊运物件时，吊具缺陷、钢丝绳断裂、指挥不当导致物件坠落。3. 机加工过程中，工件、刀具、切屑飞出伤人。4. 抛丸机、折弯机等设备运行时，工件或零部件意外弹出。5. 装配作业中，工具、零部件等高处坠落。</w:t>
            </w:r>
          </w:p>
        </w:tc>
        <w:tc>
          <w:tcPr>
            <w:tcW w:type="dxa" w:w="136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可能，但不经常</w:t>
            </w:r>
          </w:p>
        </w:tc>
        <w:tc>
          <w:tcPr>
            <w:tcW w:type="dxa" w:w="175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①造成人员砸伤、骨折、颅脑损伤等伤害，甚至死亡；②损坏设备设施，影响生产进度。影响范围主要限于作业区域及周边人员。</w:t>
            </w:r>
          </w:p>
        </w:tc>
      </w:tr>
      <w:tr>
        <w:tc>
          <w:tcPr>
            <w:tcW w:type="dxa" w:w="56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13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厂(场)内车辆致害</w:t>
            </w:r>
          </w:p>
        </w:tc>
        <w:tc>
          <w:tcPr>
            <w:tcW w:type="dxa" w:w="158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厂内道路、车间内物料搬运区域，涉及叉车、行车等</w:t>
            </w:r>
          </w:p>
        </w:tc>
        <w:tc>
          <w:tcPr>
            <w:tcW w:type="dxa" w:w="238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1. 叉车驾驶员无证操作、超速行驶、酒后驾驶、疲劳驾驶。2. 叉车制动、转向、灯光等安全装置失效。3. 厂内道路狭窄、视线不良、人车混行。4. 物料堆放占用通道，导致叉车行驶空间不足。5. 行车与叉车交叉作业，指挥信号不明确。</w:t>
            </w:r>
          </w:p>
        </w:tc>
        <w:tc>
          <w:tcPr>
            <w:tcW w:type="dxa" w:w="136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可能，但不经常</w:t>
            </w:r>
          </w:p>
        </w:tc>
        <w:tc>
          <w:tcPr>
            <w:tcW w:type="dxa" w:w="175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①造成人员碾压、碰撞、挤压伤害，甚至死亡；②损坏货物、设备及建筑物。影响范围主要为车辆运行区域及周边人员。</w:t>
            </w:r>
          </w:p>
        </w:tc>
      </w:tr>
      <w:tr>
        <w:tc>
          <w:tcPr>
            <w:tcW w:type="dxa" w:w="56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13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机械致害</w:t>
            </w:r>
          </w:p>
        </w:tc>
        <w:tc>
          <w:tcPr>
            <w:tcW w:type="dxa" w:w="158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机加工、焊接、装配等工序，涉及普通车床、摇臂钻床、折弯机、抛丸机、空压机等设备</w:t>
            </w:r>
          </w:p>
        </w:tc>
        <w:tc>
          <w:tcPr>
            <w:tcW w:type="dxa" w:w="238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1. 设备旋转部件（如车床卡盘、钻头、传动轴）无防护罩或防护罩失效。2. 操作人员未按规定穿戴劳动防护用品，如手套、长发未束起。3. 设备检修时未断电、未挂警示牌，误启动。4. 折弯机、抛丸机等设备安全联锁装置失效。5. 工件装夹不牢，加工时飞出。</w:t>
            </w:r>
          </w:p>
        </w:tc>
        <w:tc>
          <w:tcPr>
            <w:tcW w:type="dxa" w:w="136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可能，但不经常</w:t>
            </w:r>
          </w:p>
        </w:tc>
        <w:tc>
          <w:tcPr>
            <w:tcW w:type="dxa" w:w="175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①造成人员绞伤、挤压、切割、卷入等伤害，甚至死亡；②损坏设备。影响范围主要为设备操作区域。</w:t>
            </w:r>
          </w:p>
        </w:tc>
      </w:tr>
      <w:tr>
        <w:tc>
          <w:tcPr>
            <w:tcW w:type="dxa" w:w="56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13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起重致害</w:t>
            </w:r>
          </w:p>
        </w:tc>
        <w:tc>
          <w:tcPr>
            <w:tcW w:type="dxa" w:w="158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下料、装配等工序，涉及行车、起重机械</w:t>
            </w:r>
          </w:p>
        </w:tc>
        <w:tc>
          <w:tcPr>
            <w:tcW w:type="dxa" w:w="238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1. 行车超载、斜拉、斜吊。2. 吊具、钢丝绳、吊钩等磨损、断裂。3. 起重作业无人指挥或指挥信号错误。4. 行车限位器、制动器失效。5. 作业人员站在吊物下方或吊物运行路线上。</w:t>
            </w:r>
          </w:p>
        </w:tc>
        <w:tc>
          <w:tcPr>
            <w:tcW w:type="dxa" w:w="136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可能，但不经常</w:t>
            </w:r>
          </w:p>
        </w:tc>
        <w:tc>
          <w:tcPr>
            <w:tcW w:type="dxa" w:w="175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①造成人员砸伤、挤压、坠落等伤害，甚至死亡；②损坏设备、吊物。影响范围主要为起重作业区域。</w:t>
            </w:r>
          </w:p>
        </w:tc>
      </w:tr>
      <w:tr>
        <w:tc>
          <w:tcPr>
            <w:tcW w:type="dxa" w:w="56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13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触电</w:t>
            </w:r>
          </w:p>
        </w:tc>
        <w:tc>
          <w:tcPr>
            <w:tcW w:type="dxa" w:w="158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各工序电气设备、配电箱、手持电动工具、焊接设备等</w:t>
            </w:r>
          </w:p>
        </w:tc>
        <w:tc>
          <w:tcPr>
            <w:tcW w:type="dxa" w:w="238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1. 电气设备绝缘破损、老化，导致漏电。2. 未安装漏电保护器或保护器失效。3. 非电工人员私接乱拉电线。4. 焊接作业时二次线破损、接地不良。5. 潮湿环境作业，电气设备防护等级不足。</w:t>
            </w:r>
          </w:p>
        </w:tc>
        <w:tc>
          <w:tcPr>
            <w:tcW w:type="dxa" w:w="136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可能，但不经常</w:t>
            </w:r>
          </w:p>
        </w:tc>
        <w:tc>
          <w:tcPr>
            <w:tcW w:type="dxa" w:w="175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①造成人员电击伤、电灼伤，甚至死亡；②引发火灾。影响范围主要为触电人员及周边区域。</w:t>
            </w:r>
          </w:p>
        </w:tc>
      </w:tr>
      <w:tr>
        <w:tc>
          <w:tcPr>
            <w:tcW w:type="dxa" w:w="56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13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灼烫</w:t>
            </w:r>
          </w:p>
        </w:tc>
        <w:tc>
          <w:tcPr>
            <w:tcW w:type="dxa" w:w="158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焊接工序、喷漆房、空压机等</w:t>
            </w:r>
          </w:p>
        </w:tc>
        <w:tc>
          <w:tcPr>
            <w:tcW w:type="dxa" w:w="238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1. 焊接飞溅、焊渣接触皮肤。2. 焊接电弧紫外线辐射。3. 喷漆房内热源、蒸汽管道保温层破损。4. 空压机排气温度过高，接触烫伤。5. 高温工件未冷却即搬运。</w:t>
            </w:r>
          </w:p>
        </w:tc>
        <w:tc>
          <w:tcPr>
            <w:tcW w:type="dxa" w:w="136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可能，但不经常</w:t>
            </w:r>
          </w:p>
        </w:tc>
        <w:tc>
          <w:tcPr>
            <w:tcW w:type="dxa" w:w="175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①造成人员皮肤灼伤、眼睛灼伤；②影响作业人员健康。影响范围主要为作业人员。</w:t>
            </w:r>
          </w:p>
        </w:tc>
      </w:tr>
      <w:tr>
        <w:tc>
          <w:tcPr>
            <w:tcW w:type="dxa" w:w="56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13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火灾</w:t>
            </w:r>
          </w:p>
        </w:tc>
        <w:tc>
          <w:tcPr>
            <w:tcW w:type="dxa" w:w="158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喷漆房、调漆间、油漆库、焊接作业区、配电室等</w:t>
            </w:r>
          </w:p>
        </w:tc>
        <w:tc>
          <w:tcPr>
            <w:tcW w:type="dxa" w:w="238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1. 油漆、稀释剂等易燃液体挥发形成爆炸性混合气体，遇火源。2. 焊接、切割作业产生火花引燃可燃物。3. 电气线路短路、过载。4. 喷漆房通风不良，可燃气体聚集。5. 违规动火作业。</w:t>
            </w:r>
          </w:p>
        </w:tc>
        <w:tc>
          <w:tcPr>
            <w:tcW w:type="dxa" w:w="136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可能，但不经常</w:t>
            </w:r>
          </w:p>
        </w:tc>
        <w:tc>
          <w:tcPr>
            <w:tcW w:type="dxa" w:w="175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①造成人员烧伤、窒息，甚至死亡；②烧毁设备、厂房，造成重大财产损失。影响范围可能扩大至整个车间。</w:t>
            </w:r>
          </w:p>
        </w:tc>
      </w:tr>
      <w:tr>
        <w:tc>
          <w:tcPr>
            <w:tcW w:type="dxa" w:w="56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13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容器爆炸</w:t>
            </w:r>
          </w:p>
        </w:tc>
        <w:tc>
          <w:tcPr>
            <w:tcW w:type="dxa" w:w="158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空压机储气罐、气瓶（氧气、乙炔、二氧化碳等）使用区域</w:t>
            </w:r>
          </w:p>
        </w:tc>
        <w:tc>
          <w:tcPr>
            <w:tcW w:type="dxa" w:w="238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1. 储气罐超压运行，安全阀、压力表失效。2. 气瓶受热、暴晒、撞击。3. 气瓶阀门泄漏，形成爆炸性混合气体。4. 空压机冷却系统故障，导致温度过高。5. 气瓶未定期检验，瓶体腐蚀。</w:t>
            </w:r>
          </w:p>
        </w:tc>
        <w:tc>
          <w:tcPr>
            <w:tcW w:type="dxa" w:w="136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可能性小，完全意料之外</w:t>
            </w:r>
          </w:p>
        </w:tc>
        <w:tc>
          <w:tcPr>
            <w:tcW w:type="dxa" w:w="175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①造成人员炸伤、死亡；②损坏设备、建筑物。影响范围可能波及整个车间。</w:t>
            </w:r>
          </w:p>
        </w:tc>
      </w:tr>
      <w:tr>
        <w:tc>
          <w:tcPr>
            <w:tcW w:type="dxa" w:w="56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13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可燃液体蒸气爆炸</w:t>
            </w:r>
          </w:p>
        </w:tc>
        <w:tc>
          <w:tcPr>
            <w:tcW w:type="dxa" w:w="158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喷漆房、调漆间、油漆库</w:t>
            </w:r>
          </w:p>
        </w:tc>
        <w:tc>
          <w:tcPr>
            <w:tcW w:type="dxa" w:w="238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1. 油漆、稀释剂挥发，形成爆炸性混合气体。2. 通风不良，可燃气体浓度达到爆炸极限。3. 电气设备不防爆，产生电火花。4. 静电积聚放电。5. 违规使用明火。</w:t>
            </w:r>
          </w:p>
        </w:tc>
        <w:tc>
          <w:tcPr>
            <w:tcW w:type="dxa" w:w="136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可能性小，完全意料之外</w:t>
            </w:r>
          </w:p>
        </w:tc>
        <w:tc>
          <w:tcPr>
            <w:tcW w:type="dxa" w:w="175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①造成人员烧伤、死亡；②摧毁喷漆房及周边设施。影响范围可能扩大至整个车间。</w:t>
            </w:r>
          </w:p>
        </w:tc>
      </w:tr>
      <w:tr>
        <w:tc>
          <w:tcPr>
            <w:tcW w:type="dxa" w:w="56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13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中毒</w:t>
            </w:r>
          </w:p>
        </w:tc>
        <w:tc>
          <w:tcPr>
            <w:tcW w:type="dxa" w:w="158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喷漆房、调漆间、焊接作业区</w:t>
            </w:r>
          </w:p>
        </w:tc>
        <w:tc>
          <w:tcPr>
            <w:tcW w:type="dxa" w:w="238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1. 油漆、稀释剂挥发，作业人员吸入有机溶剂蒸气。2. 焊接烟尘中含有锰、铬等有害金属。3. 通风不良，有害物质浓度超标。4. 未佩戴防毒面具或防护用品。5. 长时间在密闭空间作业。</w:t>
            </w:r>
          </w:p>
        </w:tc>
        <w:tc>
          <w:tcPr>
            <w:tcW w:type="dxa" w:w="136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可能，但不经常</w:t>
            </w:r>
          </w:p>
        </w:tc>
        <w:tc>
          <w:tcPr>
            <w:tcW w:type="dxa" w:w="175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①造成人员急性或慢性中毒，损害神经系统、呼吸系统；②影响作业人员健康。影响范围主要为作业人员。</w:t>
            </w:r>
          </w:p>
        </w:tc>
      </w:tr>
    </w:tbl>
    <w:p>
      <w:pPr>
        <w:spacing w:after="120" w:line="360" w:lineRule="auto"/>
        <w:jc w:val="center"/>
      </w:pPr>
      <w:r>
        <w:rPr>
          <w:rFonts w:ascii="宋体" w:hAnsi="宋体" w:eastAsia="宋体"/>
          <w:b w:val="0"/>
          <w:sz w:val="20"/>
        </w:rPr>
        <w:t>表2-1  事故风险分析表</w:t>
      </w:r>
    </w:p>
    <w:p>
      <w:pPr>
        <w:spacing w:before="240" w:after="120" w:line="360" w:lineRule="auto"/>
      </w:pPr>
      <w:r>
        <w:rPr>
          <w:rFonts w:ascii="黑体" w:hAnsi="黑体" w:eastAsia="黑体"/>
          <w:b/>
          <w:sz w:val="32"/>
        </w:rPr>
        <w:t>3 事故风险评价</w:t>
      </w:r>
    </w:p>
    <w:p>
      <w:pPr>
        <w:spacing w:before="160" w:after="120" w:line="360" w:lineRule="auto"/>
      </w:pPr>
      <w:r>
        <w:rPr>
          <w:rFonts w:ascii="黑体" w:hAnsi="黑体" w:eastAsia="黑体"/>
          <w:b/>
          <w:sz w:val="28"/>
        </w:rPr>
        <w:t>3.1 评估方法</w:t>
      </w:r>
    </w:p>
    <w:p>
      <w:pPr>
        <w:spacing w:after="120" w:line="360" w:lineRule="auto"/>
        <w:ind w:firstLine="480"/>
      </w:pPr>
      <w:r>
        <w:rPr>
          <w:rFonts w:ascii="宋体" w:hAnsi="宋体" w:eastAsia="宋体"/>
          <w:b w:val="0"/>
          <w:sz w:val="24"/>
        </w:rPr>
        <w:t>本次风险评估采用直接判断法与预先危险分析法（PHA）相结合的方法。风险评估考虑导致风险的原因、风险事件的后果及其发生的可能性、影响后果和可能性的因素，同时考虑现有控制措施的存在及其有效性。</w:t>
      </w:r>
    </w:p>
    <w:p>
      <w:pPr>
        <w:spacing w:after="120" w:line="360" w:lineRule="auto"/>
        <w:ind w:firstLine="480"/>
      </w:pPr>
      <w:r>
        <w:rPr>
          <w:rFonts w:ascii="宋体" w:hAnsi="宋体" w:eastAsia="宋体"/>
          <w:b w:val="0"/>
          <w:sz w:val="24"/>
        </w:rPr>
        <w:t>预先危险分析法（PHA）是在进行某项工程活动之前，对系统存在的各种危险因素、出现条件和事故可能造成的后果进行宏观、概略分析的系统安全分析方法。危险性等级划分见表3-1。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850"/>
            <w:shd w:val="clear" w:fill="D9E2F3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sz w:val="21"/>
              </w:rPr>
              <w:t>级别</w:t>
            </w:r>
          </w:p>
        </w:tc>
        <w:tc>
          <w:tcPr>
            <w:tcW w:type="dxa" w:w="1701"/>
            <w:shd w:val="clear" w:fill="D9E2F3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sz w:val="21"/>
              </w:rPr>
              <w:t>危险程度</w:t>
            </w:r>
          </w:p>
        </w:tc>
        <w:tc>
          <w:tcPr>
            <w:tcW w:type="dxa" w:w="6236"/>
            <w:shd w:val="clear" w:fill="D9E2F3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sz w:val="21"/>
              </w:rPr>
              <w:t>可能导致的后果</w:t>
            </w:r>
          </w:p>
        </w:tc>
      </w:tr>
      <w:tr>
        <w:tc>
          <w:tcPr>
            <w:tcW w:type="dxa" w:w="850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Ⅰ</w:t>
            </w:r>
          </w:p>
        </w:tc>
        <w:tc>
          <w:tcPr>
            <w:tcW w:type="dxa" w:w="170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安全的</w:t>
            </w:r>
          </w:p>
        </w:tc>
        <w:tc>
          <w:tcPr>
            <w:tcW w:type="dxa" w:w="6236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不会造成人员伤亡及系统损坏</w:t>
            </w:r>
          </w:p>
        </w:tc>
      </w:tr>
      <w:tr>
        <w:tc>
          <w:tcPr>
            <w:tcW w:type="dxa" w:w="850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Ⅱ</w:t>
            </w:r>
          </w:p>
        </w:tc>
        <w:tc>
          <w:tcPr>
            <w:tcW w:type="dxa" w:w="170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临界的</w:t>
            </w:r>
          </w:p>
        </w:tc>
        <w:tc>
          <w:tcPr>
            <w:tcW w:type="dxa" w:w="6236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处于事故的边缘状态，暂时还不至于造成人员伤亡、系统损坏或降低系统性能，但应予以排除或采取控制措施</w:t>
            </w:r>
          </w:p>
        </w:tc>
      </w:tr>
      <w:tr>
        <w:tc>
          <w:tcPr>
            <w:tcW w:type="dxa" w:w="850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Ⅲ</w:t>
            </w:r>
          </w:p>
        </w:tc>
        <w:tc>
          <w:tcPr>
            <w:tcW w:type="dxa" w:w="170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危险的</w:t>
            </w:r>
          </w:p>
        </w:tc>
        <w:tc>
          <w:tcPr>
            <w:tcW w:type="dxa" w:w="6236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会造成人员伤亡和系统损坏，要立即采取防范措施</w:t>
            </w:r>
          </w:p>
        </w:tc>
      </w:tr>
      <w:tr>
        <w:tc>
          <w:tcPr>
            <w:tcW w:type="dxa" w:w="850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Ⅳ</w:t>
            </w:r>
          </w:p>
        </w:tc>
        <w:tc>
          <w:tcPr>
            <w:tcW w:type="dxa" w:w="170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灾难性的</w:t>
            </w:r>
          </w:p>
        </w:tc>
        <w:tc>
          <w:tcPr>
            <w:tcW w:type="dxa" w:w="6236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21"/>
              </w:rPr>
              <w:t>造成人员重大伤亡及系统严重破坏的灾难性事故，必须予以果断排除并进行重点防范</w:t>
            </w:r>
          </w:p>
        </w:tc>
      </w:tr>
    </w:tbl>
    <w:p>
      <w:pPr>
        <w:spacing w:after="120" w:line="360" w:lineRule="auto"/>
        <w:jc w:val="center"/>
      </w:pPr>
      <w:r>
        <w:rPr>
          <w:rFonts w:ascii="宋体" w:hAnsi="宋体" w:eastAsia="宋体"/>
          <w:b w:val="0"/>
          <w:sz w:val="20"/>
        </w:rPr>
        <w:t>表3-1  危险性等级表</w:t>
      </w:r>
    </w:p>
    <w:p>
      <w:pPr>
        <w:spacing w:before="160" w:after="120" w:line="360" w:lineRule="auto"/>
      </w:pPr>
      <w:r>
        <w:rPr>
          <w:rFonts w:ascii="黑体" w:hAnsi="黑体" w:eastAsia="黑体"/>
          <w:b/>
          <w:sz w:val="28"/>
        </w:rPr>
        <w:t>3.2 事故风险的类别及风险等级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1474"/>
        <w:gridCol w:w="1474"/>
        <w:gridCol w:w="1474"/>
        <w:gridCol w:w="1474"/>
        <w:gridCol w:w="1474"/>
      </w:tblGrid>
      <w:tr>
        <w:tc>
          <w:tcPr>
            <w:tcW w:type="dxa" w:w="567"/>
            <w:shd w:val="clear" w:fill="D9E2F3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sz w:val="18"/>
              </w:rPr>
              <w:t>序号</w:t>
            </w:r>
          </w:p>
        </w:tc>
        <w:tc>
          <w:tcPr>
            <w:tcW w:type="dxa" w:w="1134"/>
            <w:shd w:val="clear" w:fill="D9E2F3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sz w:val="18"/>
              </w:rPr>
              <w:t>事故风险类型</w:t>
            </w:r>
          </w:p>
        </w:tc>
        <w:tc>
          <w:tcPr>
            <w:tcW w:type="dxa" w:w="1587"/>
            <w:shd w:val="clear" w:fill="D9E2F3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sz w:val="18"/>
              </w:rPr>
              <w:t>区域、地点、装置</w:t>
            </w:r>
          </w:p>
        </w:tc>
        <w:tc>
          <w:tcPr>
            <w:tcW w:type="dxa" w:w="1474"/>
            <w:shd w:val="clear" w:fill="D9E2F3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sz w:val="18"/>
              </w:rPr>
              <w:t>事故发生的可能性</w:t>
            </w:r>
          </w:p>
        </w:tc>
        <w:tc>
          <w:tcPr>
            <w:tcW w:type="dxa" w:w="2268"/>
            <w:shd w:val="clear" w:fill="D9E2F3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sz w:val="18"/>
              </w:rPr>
              <w:t>危害后果和影响范围</w:t>
            </w:r>
          </w:p>
        </w:tc>
        <w:tc>
          <w:tcPr>
            <w:tcW w:type="dxa" w:w="1191"/>
            <w:shd w:val="clear" w:fill="D9E2F3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sz w:val="18"/>
              </w:rPr>
              <w:t>风险等级</w:t>
            </w:r>
          </w:p>
        </w:tc>
      </w:tr>
      <w:tr>
        <w:tc>
          <w:tcPr>
            <w:tcW w:type="dxa" w:w="56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type="dxa" w:w="113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物体打击</w:t>
            </w:r>
          </w:p>
        </w:tc>
        <w:tc>
          <w:tcPr>
            <w:tcW w:type="dxa" w:w="158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下料、机加工、焊接、装配等工序，涉及行车、叉车、数控切割机、普通车床、摇臂钻床、CO2保护焊机、折弯机、抛丸机等设备设施</w:t>
            </w:r>
          </w:p>
        </w:tc>
        <w:tc>
          <w:tcPr>
            <w:tcW w:type="dxa" w:w="147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可能，但不经常</w:t>
            </w:r>
          </w:p>
        </w:tc>
        <w:tc>
          <w:tcPr>
            <w:tcW w:type="dxa" w:w="2268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①造成人员砸伤、骨折、颅脑损伤等伤害，甚至死亡；②损坏设备设施，影响生产进度。影响范围主要限于作业区域及周边人员。</w:t>
            </w:r>
          </w:p>
        </w:tc>
        <w:tc>
          <w:tcPr>
            <w:tcW w:type="dxa" w:w="119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Ⅱ～Ⅲ</w:t>
            </w:r>
          </w:p>
        </w:tc>
      </w:tr>
      <w:tr>
        <w:tc>
          <w:tcPr>
            <w:tcW w:type="dxa" w:w="56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type="dxa" w:w="113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厂(场)内车辆致害</w:t>
            </w:r>
          </w:p>
        </w:tc>
        <w:tc>
          <w:tcPr>
            <w:tcW w:type="dxa" w:w="158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厂内道路、车间内物料搬运区域，涉及叉车、行车等</w:t>
            </w:r>
          </w:p>
        </w:tc>
        <w:tc>
          <w:tcPr>
            <w:tcW w:type="dxa" w:w="147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可能，但不经常</w:t>
            </w:r>
          </w:p>
        </w:tc>
        <w:tc>
          <w:tcPr>
            <w:tcW w:type="dxa" w:w="2268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①造成人员碾压、碰撞、挤压伤害，甚至死亡；②损坏货物、设备及建筑物。影响范围主要为车辆运行区域及周边人员。</w:t>
            </w:r>
          </w:p>
        </w:tc>
        <w:tc>
          <w:tcPr>
            <w:tcW w:type="dxa" w:w="119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Ⅱ～Ⅲ</w:t>
            </w:r>
          </w:p>
        </w:tc>
      </w:tr>
      <w:tr>
        <w:tc>
          <w:tcPr>
            <w:tcW w:type="dxa" w:w="56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type="dxa" w:w="113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机械致害</w:t>
            </w:r>
          </w:p>
        </w:tc>
        <w:tc>
          <w:tcPr>
            <w:tcW w:type="dxa" w:w="158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机加工、焊接、装配等工序，涉及普通车床、摇臂钻床、折弯机、抛丸机、空压机等设备</w:t>
            </w:r>
          </w:p>
        </w:tc>
        <w:tc>
          <w:tcPr>
            <w:tcW w:type="dxa" w:w="147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可能，但不经常</w:t>
            </w:r>
          </w:p>
        </w:tc>
        <w:tc>
          <w:tcPr>
            <w:tcW w:type="dxa" w:w="2268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①造成人员绞伤、挤压、切割、卷入等伤害，甚至死亡；②损坏设备。影响范围主要为设备操作区域。</w:t>
            </w:r>
          </w:p>
        </w:tc>
        <w:tc>
          <w:tcPr>
            <w:tcW w:type="dxa" w:w="119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Ⅱ～Ⅲ</w:t>
            </w:r>
          </w:p>
        </w:tc>
      </w:tr>
      <w:tr>
        <w:tc>
          <w:tcPr>
            <w:tcW w:type="dxa" w:w="56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type="dxa" w:w="113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起重致害</w:t>
            </w:r>
          </w:p>
        </w:tc>
        <w:tc>
          <w:tcPr>
            <w:tcW w:type="dxa" w:w="158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下料、装配等工序，涉及行车、起重机械</w:t>
            </w:r>
          </w:p>
        </w:tc>
        <w:tc>
          <w:tcPr>
            <w:tcW w:type="dxa" w:w="147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可能，但不经常</w:t>
            </w:r>
          </w:p>
        </w:tc>
        <w:tc>
          <w:tcPr>
            <w:tcW w:type="dxa" w:w="2268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①造成人员砸伤、挤压、坠落等伤害，甚至死亡；②损坏设备、吊物。影响范围主要为起重作业区域。</w:t>
            </w:r>
          </w:p>
        </w:tc>
        <w:tc>
          <w:tcPr>
            <w:tcW w:type="dxa" w:w="119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Ⅱ～Ⅲ</w:t>
            </w:r>
          </w:p>
        </w:tc>
      </w:tr>
      <w:tr>
        <w:tc>
          <w:tcPr>
            <w:tcW w:type="dxa" w:w="56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type="dxa" w:w="113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触电</w:t>
            </w:r>
          </w:p>
        </w:tc>
        <w:tc>
          <w:tcPr>
            <w:tcW w:type="dxa" w:w="158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各工序电气设备、配电箱、手持电动工具、焊接设备等</w:t>
            </w:r>
          </w:p>
        </w:tc>
        <w:tc>
          <w:tcPr>
            <w:tcW w:type="dxa" w:w="147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可能，但不经常</w:t>
            </w:r>
          </w:p>
        </w:tc>
        <w:tc>
          <w:tcPr>
            <w:tcW w:type="dxa" w:w="2268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①造成人员电击伤、电灼伤，甚至死亡；②引发火灾。影响范围主要为触电人员及周边区域。</w:t>
            </w:r>
          </w:p>
        </w:tc>
        <w:tc>
          <w:tcPr>
            <w:tcW w:type="dxa" w:w="119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Ⅲ～Ⅳ</w:t>
            </w:r>
          </w:p>
        </w:tc>
      </w:tr>
      <w:tr>
        <w:tc>
          <w:tcPr>
            <w:tcW w:type="dxa" w:w="56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type="dxa" w:w="113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灼烫</w:t>
            </w:r>
          </w:p>
        </w:tc>
        <w:tc>
          <w:tcPr>
            <w:tcW w:type="dxa" w:w="158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焊接工序、喷漆房、空压机等</w:t>
            </w:r>
          </w:p>
        </w:tc>
        <w:tc>
          <w:tcPr>
            <w:tcW w:type="dxa" w:w="147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可能，但不经常</w:t>
            </w:r>
          </w:p>
        </w:tc>
        <w:tc>
          <w:tcPr>
            <w:tcW w:type="dxa" w:w="2268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①造成人员皮肤灼伤、眼睛灼伤；②影响作业人员健康。影响范围主要为作业人员。</w:t>
            </w:r>
          </w:p>
        </w:tc>
        <w:tc>
          <w:tcPr>
            <w:tcW w:type="dxa" w:w="119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Ⅱ～Ⅲ</w:t>
            </w:r>
          </w:p>
        </w:tc>
      </w:tr>
      <w:tr>
        <w:tc>
          <w:tcPr>
            <w:tcW w:type="dxa" w:w="56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type="dxa" w:w="113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火灾</w:t>
            </w:r>
          </w:p>
        </w:tc>
        <w:tc>
          <w:tcPr>
            <w:tcW w:type="dxa" w:w="158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喷漆房、调漆间、油漆库、焊接作业区、配电室等</w:t>
            </w:r>
          </w:p>
        </w:tc>
        <w:tc>
          <w:tcPr>
            <w:tcW w:type="dxa" w:w="147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可能，但不经常</w:t>
            </w:r>
          </w:p>
        </w:tc>
        <w:tc>
          <w:tcPr>
            <w:tcW w:type="dxa" w:w="2268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①造成人员烧伤、窒息，甚至死亡；②烧毁设备、厂房，造成重大财产损失。影响范围可能扩大至整个车间。</w:t>
            </w:r>
          </w:p>
        </w:tc>
        <w:tc>
          <w:tcPr>
            <w:tcW w:type="dxa" w:w="119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Ⅲ～Ⅳ</w:t>
            </w:r>
          </w:p>
        </w:tc>
      </w:tr>
      <w:tr>
        <w:tc>
          <w:tcPr>
            <w:tcW w:type="dxa" w:w="56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type="dxa" w:w="113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容器爆炸</w:t>
            </w:r>
          </w:p>
        </w:tc>
        <w:tc>
          <w:tcPr>
            <w:tcW w:type="dxa" w:w="158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空压机储气罐、气瓶（氧气、乙炔、二氧化碳等）使用区域</w:t>
            </w:r>
          </w:p>
        </w:tc>
        <w:tc>
          <w:tcPr>
            <w:tcW w:type="dxa" w:w="147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可能性小，完全意料之外</w:t>
            </w:r>
          </w:p>
        </w:tc>
        <w:tc>
          <w:tcPr>
            <w:tcW w:type="dxa" w:w="2268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①造成人员炸伤、死亡；②损坏设备、建筑物。影响范围可能波及整个车间。</w:t>
            </w:r>
          </w:p>
        </w:tc>
        <w:tc>
          <w:tcPr>
            <w:tcW w:type="dxa" w:w="119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Ⅲ～Ⅳ</w:t>
            </w:r>
          </w:p>
        </w:tc>
      </w:tr>
      <w:tr>
        <w:tc>
          <w:tcPr>
            <w:tcW w:type="dxa" w:w="56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type="dxa" w:w="113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可燃液体蒸气爆炸</w:t>
            </w:r>
          </w:p>
        </w:tc>
        <w:tc>
          <w:tcPr>
            <w:tcW w:type="dxa" w:w="158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喷漆房、调漆间、油漆库</w:t>
            </w:r>
          </w:p>
        </w:tc>
        <w:tc>
          <w:tcPr>
            <w:tcW w:type="dxa" w:w="147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可能性小，完全意料之外</w:t>
            </w:r>
          </w:p>
        </w:tc>
        <w:tc>
          <w:tcPr>
            <w:tcW w:type="dxa" w:w="2268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①造成人员烧伤、死亡；②摧毁喷漆房及周边设施。影响范围可能扩大至整个车间。</w:t>
            </w:r>
          </w:p>
        </w:tc>
        <w:tc>
          <w:tcPr>
            <w:tcW w:type="dxa" w:w="119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Ⅲ～Ⅳ</w:t>
            </w:r>
          </w:p>
        </w:tc>
      </w:tr>
      <w:tr>
        <w:tc>
          <w:tcPr>
            <w:tcW w:type="dxa" w:w="56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type="dxa" w:w="113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中毒</w:t>
            </w:r>
          </w:p>
        </w:tc>
        <w:tc>
          <w:tcPr>
            <w:tcW w:type="dxa" w:w="1587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喷漆房、调漆间、焊接作业区</w:t>
            </w:r>
          </w:p>
        </w:tc>
        <w:tc>
          <w:tcPr>
            <w:tcW w:type="dxa" w:w="1474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可能，但不经常</w:t>
            </w:r>
          </w:p>
        </w:tc>
        <w:tc>
          <w:tcPr>
            <w:tcW w:type="dxa" w:w="2268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①造成人员急性或慢性中毒，损害神经系统、呼吸系统；②影响作业人员健康。影响范围主要为作业人员。</w:t>
            </w:r>
          </w:p>
        </w:tc>
        <w:tc>
          <w:tcPr>
            <w:tcW w:type="dxa" w:w="1191"/>
          </w:tcPr>
          <w:p>
            <w:pPr>
              <w:spacing w:line="312" w:lineRule="auto"/>
            </w:pPr>
            <w:r/>
            <w:r>
              <w:rPr>
                <w:rFonts w:ascii="宋体" w:hAnsi="宋体" w:eastAsia="宋体"/>
                <w:b w:val="0"/>
                <w:sz w:val="18"/>
              </w:rPr>
              <w:t>Ⅱ～Ⅲ</w:t>
            </w:r>
          </w:p>
        </w:tc>
      </w:tr>
    </w:tbl>
    <w:p>
      <w:pPr>
        <w:spacing w:after="120" w:line="360" w:lineRule="auto"/>
        <w:jc w:val="center"/>
      </w:pPr>
      <w:r>
        <w:rPr>
          <w:rFonts w:ascii="宋体" w:hAnsi="宋体" w:eastAsia="宋体"/>
          <w:b w:val="0"/>
          <w:sz w:val="20"/>
        </w:rPr>
        <w:t>表3-2  事故风险类别及风险等级分析表</w:t>
      </w:r>
    </w:p>
    <w:p>
      <w:pPr>
        <w:spacing w:before="240" w:after="120" w:line="360" w:lineRule="auto"/>
      </w:pPr>
      <w:r>
        <w:rPr>
          <w:rFonts w:ascii="黑体" w:hAnsi="黑体" w:eastAsia="黑体"/>
          <w:b/>
          <w:sz w:val="32"/>
        </w:rPr>
        <w:t>4 结论建议</w:t>
      </w:r>
    </w:p>
    <w:p>
      <w:pPr>
        <w:spacing w:after="120" w:line="360" w:lineRule="auto"/>
        <w:ind w:firstLine="480"/>
      </w:pPr>
      <w:r>
        <w:rPr>
          <w:rFonts w:ascii="宋体" w:hAnsi="宋体" w:eastAsia="宋体"/>
          <w:b w:val="0"/>
          <w:sz w:val="24"/>
        </w:rPr>
        <w:t>泰安示例机械有限公司主要事故类型包括物体打击、厂(场)内车辆致害、机械致害、起重致害、触电、灼烫、火灾、容器爆炸、可燃液体蒸气爆炸、中毒。其中，触电、火灾、容器爆炸、可燃液体蒸气爆炸风险等级为Ⅲ～Ⅳ级，属于较高风险；物体打击、厂(场)内车辆致害、机械致害、起重致害、灼烫、中毒风险等级为Ⅱ～Ⅲ级。企业不涉及重大危险源，但应重点加强喷漆房、焊接区、配电室等区域的风险管控。</w:t>
      </w:r>
    </w:p>
    <w:p>
      <w:pPr>
        <w:spacing w:after="120" w:line="360" w:lineRule="auto"/>
        <w:ind w:firstLine="480"/>
      </w:pPr>
      <w:r>
        <w:rPr>
          <w:rFonts w:ascii="宋体" w:hAnsi="宋体" w:eastAsia="宋体"/>
          <w:b w:val="0"/>
          <w:sz w:val="24"/>
        </w:rPr>
        <w:t>（1）建议1：建立健全安全生产责任制和各项安全管理制度，明确各岗位安全职责，定期开展安全检查，确保制度落实到位。</w:t>
      </w:r>
    </w:p>
    <w:p>
      <w:pPr>
        <w:spacing w:after="120" w:line="360" w:lineRule="auto"/>
        <w:ind w:firstLine="480"/>
      </w:pPr>
      <w:r>
        <w:rPr>
          <w:rFonts w:ascii="宋体" w:hAnsi="宋体" w:eastAsia="宋体"/>
          <w:b w:val="0"/>
          <w:sz w:val="24"/>
        </w:rPr>
        <w:t>（2）建议2：加强喷漆房、调漆间、油漆库等易燃易爆场所的通风和防爆管理，严禁烟火，设置可燃气体报警装置，电气设备采用防爆型。</w:t>
      </w:r>
    </w:p>
    <w:p>
      <w:pPr>
        <w:spacing w:after="120" w:line="360" w:lineRule="auto"/>
        <w:ind w:firstLine="480"/>
      </w:pPr>
      <w:r>
        <w:rPr>
          <w:rFonts w:ascii="宋体" w:hAnsi="宋体" w:eastAsia="宋体"/>
          <w:b w:val="0"/>
          <w:sz w:val="24"/>
        </w:rPr>
        <w:t>（3）建议3：对起重机械、叉车等特种设备定期检验，操作人员持证上岗，严格执行起重作业“十不吊”和叉车安全操作规程。</w:t>
      </w:r>
    </w:p>
    <w:p>
      <w:pPr>
        <w:spacing w:after="120" w:line="360" w:lineRule="auto"/>
        <w:ind w:firstLine="480"/>
      </w:pPr>
      <w:r>
        <w:rPr>
          <w:rFonts w:ascii="宋体" w:hAnsi="宋体" w:eastAsia="宋体"/>
          <w:b w:val="0"/>
          <w:sz w:val="24"/>
        </w:rPr>
        <w:t>（4）建议4：为作业人员配备符合要求的劳动防护用品，如防毒面具、防护眼镜、防砸鞋等，并监督正确使用。</w:t>
      </w:r>
    </w:p>
    <w:p>
      <w:pPr>
        <w:spacing w:after="120" w:line="360" w:lineRule="auto"/>
        <w:ind w:firstLine="480"/>
      </w:pPr>
      <w:r>
        <w:rPr>
          <w:rFonts w:ascii="宋体" w:hAnsi="宋体" w:eastAsia="宋体"/>
          <w:b w:val="0"/>
          <w:sz w:val="24"/>
        </w:rPr>
        <w:t>（5）建议5：制定生产安全事故应急预案，定期组织演练，提高员工应急处置能力；应急物资装备管理要求见本报告5.3节，应急物资装备清单详见附件4。</w:t>
      </w:r>
    </w:p>
    <w:sectPr w:rsidR="00FC693F" w:rsidRPr="0006063C" w:rsidSect="00034616">
      <w:pgSz w:w="11906" w:h="16838"/>
      <w:pgMar w:top="1440" w:right="1474" w:bottom="1440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